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46.png" ContentType="image/png"/>
  <Override PartName="/word/media/rId47.png" ContentType="image/png"/>
  <Override PartName="/word/media/rId53.png" ContentType="image/png"/>
  <Override PartName="/word/media/rId52.png" ContentType="image/png"/>
  <Override PartName="/word/media/rId49.png" ContentType="image/png"/>
  <Override PartName="/word/media/rId50.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2021-06-24 13:19:52</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model seasonal and multi-decadal changes in a long-term monitoring dataset of chlorophyll-a concentrations in the San Francisco Estuary. GAMs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and their standard errors for an</w:t>
      </w:r>
      <w:r>
        <w:t xml:space="preserve"> </w:t>
      </w:r>
      <w:r>
        <w:rPr>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w:t>
      </w:r>
      <w:r>
        <w:t xml:space="preserve"> </w:t>
      </w:r>
      <w:r>
        <w:rPr>
          <w:i/>
        </w:rPr>
        <w:t xml:space="preserve">wqtrends</w:t>
      </w:r>
      <w:r>
        <w:t xml:space="preserve"> </w:t>
      </w:r>
      <w:r>
        <w:t xml:space="preserve">R package.</w:t>
      </w:r>
    </w:p>
    <w:p>
      <w:pPr>
        <w:pStyle w:val="BodyText"/>
      </w:pPr>
      <w:r>
        <w:rPr>
          <w:i/>
        </w:rPr>
        <w:t xml:space="preserve">Key words</w:t>
      </w:r>
      <w:r>
        <w:t xml:space="preserve">: chlorophyll, Generalized Additive Models, meta-analysis, San Francisco Estuary, Trend analysis</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when ignoring variation at one scale could lead to incorrect conclusions about variation at another scale. Many environmental monitoring programs collect temporally resolved but irregular time series data to quantify trends for regulatory, management, or research purposes. The mismatch between the scales of monitoring versus analysis questions or management goals can present statistical challenges</w:t>
      </w:r>
      <w:r>
        <w:t xml:space="preserve"> </w:t>
      </w:r>
      <w:r>
        <w:t xml:space="preserve">(Cumming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 Urquhart et al.,</w:t>
      </w:r>
      <w:r>
        <w:t xml:space="preserve"> </w:t>
      </w:r>
      <w:hyperlink w:anchor="ref-Urquhart98">
        <w:r>
          <w:rPr>
            <w:rStyle w:val="Hyperlink"/>
          </w:rPr>
          <w:t xml:space="preserve">1998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Many trend analysis methods lack the flexibility to evaluate one to many independent variables in an extendable structure that accommodates hypothesis testing at different time scales of interest.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(Helsel et al.,</w:t>
      </w:r>
      <w:r>
        <w:t xml:space="preserve"> </w:t>
      </w:r>
      <w:hyperlink w:anchor="ref-Helsel20">
        <w:r>
          <w:rPr>
            <w:rStyle w:val="Hyperlink"/>
          </w:rPr>
          <w:t xml:space="preserve">2020</w:t>
        </w:r>
      </w:hyperlink>
      <w:r>
        <w:t xml:space="preserve">; Hirsch et al.,</w:t>
      </w:r>
      <w:r>
        <w:t xml:space="preserve"> </w:t>
      </w:r>
      <w:hyperlink w:anchor="ref-Hirsch82">
        <w:r>
          <w:rPr>
            <w:rStyle w:val="Hyperlink"/>
          </w:rPr>
          <w:t xml:space="preserve">1982</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do not include additional predictors to explain variation,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 Hirsch et al.,</w:t>
      </w:r>
      <w:r>
        <w:t xml:space="preserve"> </w:t>
      </w:r>
      <w:hyperlink w:anchor="ref-Hirsch10">
        <w:r>
          <w:rPr>
            <w:rStyle w:val="Hyperlink"/>
          </w:rPr>
          <w:t xml:space="preserve">2010</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using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the fourth method to separate fluctuations on different time scales. GAMs combine one or more smoothing splines to model patterns in data and may be seen as generalizing the concepts behind STL and WRTDS</w:t>
      </w:r>
      <w:r>
        <w:t xml:space="preserve"> </w:t>
      </w:r>
      <w:r>
        <w:t xml:space="preserve">(Haraguchi et al.,</w:t>
      </w:r>
      <w:r>
        <w:t xml:space="preserve"> </w:t>
      </w:r>
      <w:hyperlink w:anchor="ref-Haraguchi15">
        <w:r>
          <w:rPr>
            <w:rStyle w:val="Hyperlink"/>
          </w:rPr>
          <w:t xml:space="preserve">2015</w:t>
        </w:r>
      </w:hyperlink>
      <w:r>
        <w:t xml:space="preserve">; 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Murphy et al.,</w:t>
      </w:r>
      <w:r>
        <w:t xml:space="preserve"> </w:t>
      </w:r>
      <w:hyperlink w:anchor="ref-Murphy19">
        <w:r>
          <w:rPr>
            <w:rStyle w:val="Hyperlink"/>
          </w:rPr>
          <w:t xml:space="preserve">2019</w:t>
        </w:r>
      </w:hyperlink>
      <w:r>
        <w:t xml:space="preserve">; Pearce et al.,</w:t>
      </w:r>
      <w:r>
        <w:t xml:space="preserve"> </w:t>
      </w:r>
      <w:hyperlink w:anchor="ref-Pearce11">
        <w:r>
          <w:rPr>
            <w:rStyle w:val="Hyperlink"/>
          </w:rPr>
          <w:t xml:space="preserve">2011</w:t>
        </w:r>
      </w:hyperlink>
      <w:r>
        <w:t xml:space="preserve">)</w:t>
      </w:r>
      <w:r>
        <w:t xml:space="preserve">. The basis functions used to formulate GAMs can be customized based on expected patterns in the data. One example includes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w:t>
      </w:r>
      <w:r>
        <w:t xml:space="preserve"> </w:t>
      </w:r>
      <w:r>
        <w:t xml:space="preserve">(Beck and Murphy,</w:t>
      </w:r>
      <w:r>
        <w:t xml:space="preserve"> </w:t>
      </w:r>
      <w:hyperlink w:anchor="ref-Beck17">
        <w:r>
          <w:rPr>
            <w:rStyle w:val="Hyperlink"/>
          </w:rPr>
          <w:t xml:space="preserve">2017</w:t>
        </w:r>
      </w:hyperlink>
      <w:r>
        <w:t xml:space="preserve">)</w:t>
      </w:r>
      <w:r>
        <w:t xml:space="preserve"> </w:t>
      </w:r>
      <w:r>
        <w:t xml:space="preserve">and have readily obtainable uncertainty estimates. Further, GAMs have natural frequentist and Bayesian interpretations, are naturally extensible to include random effects (i.e., generalized additive mixed models or GAMMs), and have computationally efficient implementations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 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Other studies of environmental time 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17">
        <w:r>
          <w:rPr>
            <w:rStyle w:val="Hyperlink"/>
          </w:rPr>
          <w:t xml:space="preserve">2017</w:t>
        </w:r>
      </w:hyperlink>
      <w:r>
        <w:t xml:space="preserve">,</w:t>
      </w:r>
      <w:r>
        <w:t xml:space="preserve"> </w:t>
      </w:r>
      <w:hyperlink w:anchor="ref-Wood03">
        <w:r>
          <w:rPr>
            <w:rStyle w:val="Hyperlink"/>
          </w:rPr>
          <w:t xml:space="preserve">2003</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w:t>
      </w:r>
    </w:p>
    <w:p>
      <w:pPr>
        <w:pStyle w:val="BodyText"/>
      </w:pPr>
      <w:r>
        <w:t xml:space="preserve">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in time series data. This paper develops the use of GAMs with mixed-effects meta-analysis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to address multi-scale trend analysis questions for which seasonal Kendall tests and the more complex STL and WRTDS methods are not well-suited.</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Is there a spatial difference in chlorophyll trends? We provide examples illustrating how these questions can be addressed using GAMs to estimate seasonal trends and evaluated between years using meta-analysis methods. This approach is new to environmental trend-detection problems and is provided in the</w:t>
      </w:r>
      <w:r>
        <w:t xml:space="preserve"> </w:t>
      </w:r>
      <w:r>
        <w:rPr>
          <w:i/>
        </w:rPr>
        <w:t xml:space="preserve">wqtrends</w:t>
      </w:r>
      <w:r>
        <w:t xml:space="preserve"> </w:t>
      </w:r>
      <w:r>
        <w:t xml:space="preserve">R package developed by the authors</w:t>
      </w:r>
      <w:r>
        <w:t xml:space="preserve"> </w:t>
      </w:r>
      <w:r>
        <w:t xml:space="preserve">(Beck et al.,</w:t>
      </w:r>
      <w:r>
        <w:t xml:space="preserve"> </w:t>
      </w:r>
      <w:hyperlink w:anchor="ref-Beck21">
        <w:r>
          <w:rPr>
            <w:rStyle w:val="Hyperlink"/>
          </w:rPr>
          <w:t xml:space="preserve">2021</w:t>
        </w:r>
      </w:hyperlink>
      <w:r>
        <w:t xml:space="preserve">, available at</w:t>
      </w:r>
      <w:r>
        <w:t xml:space="preserve"> </w:t>
      </w:r>
      <w:hyperlink r:id="rId29">
        <w:r>
          <w:rPr>
            <w:rStyle w:val="Hyperlink"/>
          </w:rPr>
          <w:t xml:space="preserve">https://tbep-tech.github.io/wqtrends</w:t>
        </w:r>
      </w:hyperlink>
      <w:r>
        <w:t xml:space="preserve">, including an online dashboard for viewing results at</w:t>
      </w:r>
      <w:r>
        <w:t xml:space="preserve"> </w:t>
      </w:r>
      <w:hyperlink r:id="rId30">
        <w:r>
          <w:rPr>
            <w:rStyle w:val="Hyperlink"/>
          </w:rPr>
          <w:t xml:space="preserve">https://nutrient-data.sfei.org/apps/SFbaytrends/</w:t>
        </w:r>
      </w:hyperlink>
      <w:r>
        <w:t xml:space="preserve">)</w:t>
      </w:r>
      <w:r>
        <w:t xml:space="preserve">.</w:t>
      </w:r>
    </w:p>
    <w:p>
      <w:pPr>
        <w:pStyle w:val="Heading1"/>
      </w:pPr>
      <w:bookmarkStart w:id="31" w:name="methods"/>
      <w:r>
        <w:t xml:space="preserve">Methods</w:t>
      </w:r>
      <w:bookmarkEnd w:id="31"/>
    </w:p>
    <w:p>
      <w:pPr>
        <w:pStyle w:val="Heading2"/>
      </w:pPr>
      <w:bookmarkStart w:id="32" w:name="study-area-and-data-sources"/>
      <w:r>
        <w:t xml:space="preserve">Study area and data sources</w:t>
      </w:r>
      <w:bookmarkEnd w:id="32"/>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Salinity ranges from 0 to 15 ppt in the northern subembayments and from 5 to 35 ppt in southern subembayments closer to the Pacific Ocean, depending on the tidal cycle, effluent discharge from wastewater treatment plants, and stormwater runoff</w:t>
      </w:r>
      <w:r>
        <w:t xml:space="preserve"> </w:t>
      </w:r>
      <w:r>
        <w:t xml:space="preserve">(Cloern and Jassby,</w:t>
      </w:r>
      <w:r>
        <w:t xml:space="preserve"> </w:t>
      </w:r>
      <w:hyperlink w:anchor="ref-Cloern12">
        <w:r>
          <w:rPr>
            <w:rStyle w:val="Hyperlink"/>
          </w:rPr>
          <w:t xml:space="preserve">2012</w:t>
        </w:r>
      </w:hyperlink>
      <w:r>
        <w:t xml:space="preserve">)</w:t>
      </w:r>
      <w:r>
        <w:t xml:space="preserv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the SFE usually exceed concentrations that cause eutrophication in other estuaries. However, the SFE has demonstrated resistance to eutrophication, which has been attributed to high concentrations of suspended sediment that reduce light penetration in the water column, low residence time caused by vigorous river flushing, and removal of primary producers by abundant suspension feeding bivalves</w:t>
      </w:r>
      <w:r>
        <w:t xml:space="preserve"> </w:t>
      </w:r>
      <w:r>
        <w:t xml:space="preserve">(Alpine and Cloern,</w:t>
      </w:r>
      <w:r>
        <w:t xml:space="preserve"> </w:t>
      </w:r>
      <w:hyperlink w:anchor="ref-Alpine88">
        <w:r>
          <w:rPr>
            <w:rStyle w:val="Hyperlink"/>
          </w:rPr>
          <w:t xml:space="preserve">1988</w:t>
        </w:r>
      </w:hyperlink>
      <w:r>
        <w:t xml:space="preserve">; Cole and Cloern,</w:t>
      </w:r>
      <w:r>
        <w:t xml:space="preserve"> </w:t>
      </w:r>
      <w:hyperlink w:anchor="ref-Cole84">
        <w:r>
          <w:rPr>
            <w:rStyle w:val="Hyperlink"/>
          </w:rPr>
          <w:t xml:space="preserve">1984</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Sampling frequency varied somewhat over time and by station. Every observation was included directly in the statistical models without spatial or temporal binning or averaging. Log</w:t>
      </w:r>
      <m:oMath>
        <m:sSub>
          <m:e>
            <m:r>
              <m:t>​</m:t>
            </m:r>
          </m:e>
          <m:sub>
            <m:r>
              <m:t>10</m:t>
            </m:r>
          </m:sub>
        </m:sSub>
      </m:oMath>
      <w:r>
        <w:t xml:space="preserve">-transformed chl-a was used for all analyses to meet assumptions of normally-distributed residuals. Methods for back-transformation of model results are provided in the supplement.</w:t>
      </w:r>
    </w:p>
    <w:p>
      <w:pPr>
        <w:pStyle w:val="Heading2"/>
      </w:pPr>
      <w:bookmarkStart w:id="33" w:name="gams-with-uncertainty-propagation"/>
      <w:r>
        <w:t xml:space="preserve">GAMs with uncertainty propagation</w:t>
      </w:r>
      <w:bookmarkEnd w:id="33"/>
    </w:p>
    <w:p>
      <w:pPr>
        <w:pStyle w:val="FirstParagraph"/>
      </w:pPr>
      <w:r>
        <w:t xml:space="preserve">We implemented our analysis in three stages. First, we used a GAM to estimate a smooth temporal pattern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w:t>
      </w:r>
    </w:p>
    <w:p>
      <w:pPr>
        <w:pStyle w:val="Heading3"/>
      </w:pPr>
      <w:bookmarkStart w:id="34" w:name="first-stage-analysis-gam-estimation"/>
      <w:r>
        <w:t xml:space="preserve">First-stage analysis: GAM estimation</w:t>
      </w:r>
      <w:bookmarkEnd w:id="34"/>
    </w:p>
    <w:p>
      <w:pPr>
        <w:pStyle w:val="FirstParagraph"/>
      </w:pPr>
      <w:r>
        <w:t xml:space="preserve">We considered four different GAMs to smooth the raw data across time. Although they can achieve similar fits, they do so by partitioning variation in the time series differently (Table @ref(tab:modsumtab)). We discuss all four to clarify their relationships and interpretations. All models were created using the</w:t>
      </w:r>
      <w:r>
        <w:t xml:space="preserve"> </w:t>
      </w:r>
      <w:r>
        <w:rPr>
          <w:rStyle w:val="VerbatimChar"/>
        </w:rPr>
        <w:t xml:space="preserve">mgcv</w:t>
      </w:r>
      <w:r>
        <w:t xml:space="preserve"> </w:t>
      </w:r>
      <w:r>
        <w:t xml:space="preserve">R package</w:t>
      </w:r>
      <w:r>
        <w:t xml:space="preserve"> </w:t>
      </w:r>
      <w:r>
        <w:t xml:space="preserve">(R Core Team,</w:t>
      </w:r>
      <w:r>
        <w:t xml:space="preserve"> </w:t>
      </w:r>
      <w:hyperlink w:anchor="ref-RCT20">
        <w:r>
          <w:rPr>
            <w:rStyle w:val="Hyperlink"/>
          </w:rPr>
          <w:t xml:space="preserve">2020</w:t>
        </w:r>
      </w:hyperlink>
      <w:r>
        <w:t xml:space="preserve">; Wood,</w:t>
      </w:r>
      <w:r>
        <w:t xml:space="preserve"> </w:t>
      </w:r>
      <w:hyperlink w:anchor="ref-Wood17">
        <w:r>
          <w:rPr>
            <w:rStyle w:val="Hyperlink"/>
          </w:rPr>
          <w:t xml:space="preserve">2017</w:t>
        </w:r>
      </w:hyperlink>
      <w:r>
        <w:t xml:space="preserve">)</w:t>
      </w:r>
      <w:r>
        <w:t xml:space="preserve">, with utility functions included in the</w:t>
      </w:r>
      <w:r>
        <w:t xml:space="preserve"> </w:t>
      </w:r>
      <w:r>
        <w:rPr>
          <w:rStyle w:val="VerbatimChar"/>
        </w:rPr>
        <w:t xml:space="preserve">wqtrends</w:t>
      </w:r>
      <w:r>
        <w:t xml:space="preserve"> </w:t>
      </w:r>
      <w:r>
        <w:t xml:space="preserve">package created by the authors</w:t>
      </w:r>
      <w:r>
        <w:t xml:space="preserve"> </w:t>
      </w:r>
      <w:r>
        <w:t xml:space="preserve">(Beck et al.,</w:t>
      </w:r>
      <w:r>
        <w:t xml:space="preserve"> </w:t>
      </w:r>
      <w:hyperlink w:anchor="ref-Beck21">
        <w:r>
          <w:rPr>
            <w:rStyle w:val="Hyperlink"/>
          </w:rPr>
          <w:t xml:space="preserve">2021</w:t>
        </w:r>
      </w:hyperlink>
      <w:r>
        <w:t xml:space="preserve">)</w:t>
      </w:r>
      <w:r>
        <w:t xml:space="preserve">.</w:t>
      </w:r>
    </w:p>
    <w:p>
      <w:pPr>
        <w:pStyle w:val="BodyText"/>
      </w:pPr>
      <w:r>
        <w:t xml:space="preserve">The simplest GAM for this purpose is expressed as:</w:t>
      </w:r>
    </w:p>
    <w:p>
      <w:pPr>
        <w:pStyle w:val="BodyText"/>
      </w:pPr>
    </w:p>
    <w:p>
      <w:pPr>
        <w:pStyle w:val="BodyText"/>
      </w:pPr>
      <w:r>
        <w:t xml:space="preserve">where</w:t>
      </w:r>
      <w:r>
        <w:t xml:space="preserve"> </w:t>
      </w:r>
      <w:r>
        <w:rPr>
          <w:rStyle w:val="VerbatimChar"/>
        </w:rPr>
        <w:t xml:space="preserve">y</w:t>
      </w:r>
      <w:r>
        <w:t xml:space="preserve"> </w:t>
      </w:r>
      <w:r>
        <w:t xml:space="preserve">is the time series of interest, such as chl-a, for observation</w:t>
      </w:r>
      <w:r>
        <w:t xml:space="preserve"> </w:t>
      </w:r>
      <m:oMath>
        <m:r>
          <m:t>i</m:t>
        </m:r>
      </m:oMath>
      <w:r>
        <w:t xml:space="preserve"> </w:t>
      </w:r>
      <w:r>
        <w:t xml:space="preserve">explained by an intercept-term</w:t>
      </w:r>
      <w:r>
        <w:t xml:space="preserve"> </w:t>
      </w:r>
      <m:oMath>
        <m:sSub>
          <m:e>
            <m:r>
              <m:t>β</m:t>
            </m:r>
          </m:e>
          <m:sub>
            <m:r>
              <m:t>0</m:t>
            </m:r>
          </m:sub>
        </m:sSub>
      </m:oMath>
      <w:r>
        <w:t xml:space="preserve"> </w:t>
      </w:r>
      <w:r>
        <w:t xml:space="preserve">and a smooth function</w:t>
      </w:r>
      <w:r>
        <w:t xml:space="preserve"> </w:t>
      </w:r>
      <m:oMath>
        <m:sSub>
          <m:e>
            <m:r>
              <m:t>f</m:t>
            </m:r>
          </m:e>
          <m:sub>
            <m:r>
              <m:t>1</m:t>
            </m:r>
          </m:sub>
        </m:sSub>
        <m:r>
          <m:t>(</m:t>
        </m:r>
        <m:r>
          <m:t>)</m:t>
        </m:r>
      </m:oMath>
      <w:r>
        <w:t xml:space="preserve"> </w:t>
      </w:r>
      <w:r>
        <w:t xml:space="preserve">for</w:t>
      </w:r>
      <w:r>
        <w:t xml:space="preserve"> </w:t>
      </w:r>
      <w:r>
        <w:rPr>
          <w:rStyle w:val="VerbatimChar"/>
        </w:rPr>
        <w:t xml:space="preserve">cont_year</w:t>
      </w:r>
      <w:r>
        <w:t xml:space="preserve"> </w:t>
      </w:r>
      <w:r>
        <w:t xml:space="preserve">as</w:t>
      </w:r>
      <w:r>
        <w:t xml:space="preserve"> </w:t>
      </w:r>
      <w:r>
        <w:t xml:space="preserve">“</w:t>
      </w:r>
      <w:r>
        <w:t xml:space="preserve">continuous year</w:t>
      </w:r>
      <w:r>
        <w:t xml:space="preserve">”</w:t>
      </w:r>
      <w:r>
        <w:t xml:space="preserve"> </w:t>
      </w:r>
      <w:r>
        <w:t xml:space="preserve">represented as a continuous numerical date (e.g., July 1st 2019 would be 2019.5). The</w:t>
      </w:r>
      <w:r>
        <w:t xml:space="preserve"> </w:t>
      </w:r>
      <m:oMath>
        <m:sSub>
          <m:e>
            <m:r>
              <m:t>f</m:t>
            </m:r>
          </m:e>
          <m:sub>
            <m:r>
              <m:t>1</m:t>
            </m:r>
          </m:sub>
        </m:sSub>
        <m:r>
          <m:t>(</m:t>
        </m:r>
        <m:r>
          <m:t>)</m:t>
        </m:r>
      </m:oMath>
      <w:r>
        <w:t xml:space="preserve"> </w:t>
      </w:r>
      <w:r>
        <w:t xml:space="preserve">function is a smoothing spline composed of the sum of multiple</w:t>
      </w:r>
      <w:r>
        <w:t xml:space="preserve"> </w:t>
      </w:r>
      <w:r>
        <w:t xml:space="preserve">“</w:t>
      </w:r>
      <w:r>
        <w:t xml:space="preserve">basis functions</w:t>
      </w:r>
      <w:r>
        <w:t xml:space="preserve">”</w:t>
      </w:r>
      <w:r>
        <w:t xml:space="preserve"> </w:t>
      </w:r>
      <w:r>
        <w:t xml:space="preserve">describing the relationship of</w:t>
      </w:r>
      <w:r>
        <w:t xml:space="preserve"> </w:t>
      </w:r>
      <m:oMath>
        <m:r>
          <m:t>c</m:t>
        </m:r>
        <m:r>
          <m:t>o</m:t>
        </m:r>
        <m:r>
          <m:t>n</m:t>
        </m:r>
        <m:r>
          <m:t>t</m:t>
        </m:r>
        <m:r>
          <m:t>_</m:t>
        </m:r>
        <m:r>
          <m:t>y</m:t>
        </m:r>
        <m:r>
          <m:t>e</m:t>
        </m:r>
        <m:r>
          <m:t>a</m:t>
        </m:r>
        <m:r>
          <m:t>r</m:t>
        </m:r>
      </m:oMath>
      <w:r>
        <w:t xml:space="preserve"> </w:t>
      </w:r>
      <w:r>
        <w:t xml:space="preserve">with</w:t>
      </w:r>
      <w:r>
        <w:t xml:space="preserve"> </w:t>
      </w:r>
      <m:oMath>
        <m:r>
          <m:t>y</m:t>
        </m:r>
      </m:oMath>
      <w:r>
        <w:t xml:space="preserve"> </w:t>
      </w:r>
      <w:r>
        <w:t xml:space="preserve">(Wood,</w:t>
      </w:r>
      <w:r>
        <w:t xml:space="preserve"> </w:t>
      </w:r>
      <w:hyperlink w:anchor="ref-Wood17">
        <w:r>
          <w:rPr>
            <w:rStyle w:val="Hyperlink"/>
          </w:rPr>
          <w:t xml:space="preserve">2017</w:t>
        </w:r>
      </w:hyperlink>
      <w:r>
        <w:t xml:space="preserve">)</w:t>
      </w:r>
      <w:r>
        <w:t xml:space="preserve">. The smoothing splines includes a user-specified number of knots or</w:t>
      </w:r>
      <w:r>
        <w:t xml:space="preserve"> </w:t>
      </w:r>
      <w:r>
        <w:t xml:space="preserve">“</w:t>
      </w:r>
      <w:r>
        <w:t xml:space="preserve">connections</w:t>
      </w:r>
      <w:r>
        <w:t xml:space="preserve">”</w:t>
      </w:r>
      <w:r>
        <w:t xml:space="preserve"> </w:t>
      </w:r>
      <w:r>
        <w:t xml:space="preserve">along the spline. The</w:t>
      </w:r>
      <w:r>
        <w:t xml:space="preserve"> </w:t>
      </w:r>
      <m:oMath>
        <m:r>
          <m:t>ϵ</m:t>
        </m:r>
      </m:oMath>
      <w:r>
        <w:t xml:space="preserve"> </w:t>
      </w:r>
      <w:r>
        <w:t xml:space="preserve">term is for model errors having normal distribution with mean zero and constant variance.</w:t>
      </w:r>
    </w:p>
    <w:p>
      <w:pPr>
        <w:pStyle w:val="BodyText"/>
      </w:pPr>
      <w:r>
        <w:t xml:space="preserve">Smoothing was determined using generalized cross-validation (GCV, as implemented in</w:t>
      </w:r>
      <w:r>
        <w:t xml:space="preserve"> </w:t>
      </w:r>
      <w:r>
        <w:rPr>
          <w:rStyle w:val="VerbatimChar"/>
        </w:rPr>
        <w:t xml:space="preserve">mgcv</w:t>
      </w:r>
      <w:r>
        <w:t xml:space="preserve">), which approximately minimizes out-of-sample prediction error. GCV works by penalizing the net curvature of a spline</w:t>
      </w:r>
      <w:r>
        <w:t xml:space="preserve"> </w:t>
      </w:r>
      <w:r>
        <w:t xml:space="preserve">(Wood,</w:t>
      </w:r>
      <w:r>
        <w:t xml:space="preserve"> </w:t>
      </w:r>
      <w:hyperlink w:anchor="ref-Wood04">
        <w:r>
          <w:rPr>
            <w:rStyle w:val="Hyperlink"/>
          </w:rPr>
          <w:t xml:space="preserve">2004</w:t>
        </w:r>
      </w:hyperlink>
      <w:r>
        <w:t xml:space="preserve">)</w:t>
      </w:r>
      <w:r>
        <w:t xml:space="preserve">. To allow GCV (or other alternatives) to work as intended, the number of knots that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 for</w:t>
      </w:r>
      <w:r>
        <w:t xml:space="preserve"> </w:t>
      </w:r>
      <m:oMath>
        <m:sSub>
          <m:e>
            <m:r>
              <m:t>f</m:t>
            </m:r>
          </m:e>
          <m:sub>
            <m:r>
              <m:t>1</m:t>
            </m:r>
          </m:sub>
        </m:sSub>
        <m:r>
          <m:t>(</m:t>
        </m:r>
        <m:r>
          <m:t>)</m:t>
        </m:r>
      </m:oMath>
      <w:r>
        <w:t xml:space="preserve"> </w:t>
      </w:r>
      <w:r>
        <w:t xml:space="preserve">as 12 times the number of years in the time series, i.e., one knot per month. If the data were too sparse to fit 12 knots per year, the number of knots was reduced by one knot per year until the model could be estimated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p>
    <w:p>
      <w:pPr>
        <w:pStyle w:val="BodyText"/>
      </w:pPr>
      <w:r>
        <w:t xml:space="preserve">where equation @ref(eq:SYmod) is the same as equation @ref(eq:Smod) with the addition of a linear term for</w:t>
      </w:r>
      <w:r>
        <w:t xml:space="preserve"> </w:t>
      </w:r>
      <m:oMath>
        <m:r>
          <m:t>c</m:t>
        </m:r>
        <m:r>
          <m:t>o</m:t>
        </m:r>
        <m:r>
          <m:t>n</m:t>
        </m:r>
        <m:r>
          <m:t>t</m:t>
        </m:r>
        <m:r>
          <m:t>_</m:t>
        </m:r>
        <m:r>
          <m:t>y</m:t>
        </m:r>
        <m:r>
          <m:t>e</m:t>
        </m:r>
        <m:r>
          <m:t>a</m:t>
        </m:r>
        <m:r>
          <m:t>r</m:t>
        </m:r>
      </m:oMath>
      <w:r>
        <w:t xml:space="preserve"> </w:t>
      </w:r>
      <w:r>
        <w:t xml:space="preserve">related to</w:t>
      </w:r>
      <w:r>
        <w:t xml:space="preserve"> </w:t>
      </w:r>
      <m:oMath>
        <m:sSub>
          <m:e>
            <m:r>
              <m:t>y</m:t>
            </m:r>
          </m:e>
          <m:sub>
            <m:r>
              <m:t>i</m:t>
            </m:r>
          </m:sub>
        </m:sSub>
      </m:oMath>
      <w:r>
        <w:t xml:space="preserve"> </w:t>
      </w:r>
      <w:r>
        <w:t xml:space="preserve">by the</w:t>
      </w:r>
      <w:r>
        <w:t xml:space="preserve"> </w:t>
      </w:r>
      <m:oMath>
        <m:sSub>
          <m:e>
            <m:r>
              <m:t>β</m:t>
            </m:r>
          </m:e>
          <m:sub>
            <m:r>
              <m:t>1</m:t>
            </m:r>
          </m:sub>
        </m:sSub>
      </m:oMath>
      <w:r>
        <w:t xml:space="preserve"> </w:t>
      </w:r>
      <w:r>
        <w:t xml:space="preserve">slope parameter.</w:t>
      </w:r>
    </w:p>
    <w:p>
      <w:pPr>
        <w:pStyle w:val="BodyText"/>
      </w:pPr>
      <w:r>
        <w:t xml:space="preserve">This model is mathematically equivalent to model S (Table @ref(tab:modstrtab)). The</w:t>
      </w:r>
      <w:r>
        <w:t xml:space="preserve"> </w:t>
      </w:r>
      <m:oMath>
        <m:sSub>
          <m:e>
            <m:r>
              <m:t>f</m:t>
            </m:r>
          </m:e>
          <m:sub>
            <m:r>
              <m:t>1</m:t>
            </m:r>
          </m:sub>
        </m:sSub>
        <m:r>
          <m:t>(</m:t>
        </m:r>
        <m:r>
          <m:t>)</m:t>
        </m:r>
      </m:oMath>
      <w:r>
        <w:t xml:space="preserve"> </w:t>
      </w:r>
      <w:r>
        <w:t xml:space="preserve">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p>
    <w:p>
      <w:pPr>
        <w:pStyle w:val="BodyText"/>
      </w:pPr>
      <w:r>
        <w:t xml:space="preserve">where equation @ref(eq:SYDmod) is the same as equation @ref(eq:SYmod) with the addition of a smoothing spline for</w:t>
      </w:r>
      <w:r>
        <w:t xml:space="preserve"> </w:t>
      </w:r>
      <w:r>
        <w:t xml:space="preserve">“</w:t>
      </w:r>
      <w:r>
        <w:t xml:space="preserve">day-of-year</w:t>
      </w:r>
      <w:r>
        <w:t xml:space="preserve">”</w:t>
      </w:r>
      <w:r>
        <w:t xml:space="preserve"> </w:t>
      </w:r>
      <w:r>
        <w:t xml:space="preserve">(</w:t>
      </w:r>
      <m:oMath>
        <m:r>
          <m:t>d</m:t>
        </m:r>
        <m:r>
          <m:t>o</m:t>
        </m:r>
        <m:r>
          <m:t>y</m:t>
        </m:r>
      </m:oMath>
      <w:r>
        <w:t xml:space="preserve">, i.e., Julian date, a count starting January 1 for each year). The</w:t>
      </w:r>
      <w:r>
        <w:t xml:space="preserve"> </w:t>
      </w:r>
      <m:oMath>
        <m:sSub>
          <m:e>
            <m:r>
              <m:t>f</m:t>
            </m:r>
          </m:e>
          <m:sub>
            <m:r>
              <m:t>2</m:t>
            </m:r>
          </m:sub>
        </m:sSub>
        <m:r>
          <m:t>(</m:t>
        </m:r>
        <m:r>
          <m:t>)</m:t>
        </m:r>
      </m:oMath>
      <w:r>
        <w:t xml:space="preserve"> </w:t>
      </w:r>
      <w:r>
        <w:t xml:space="preserve">spline is cyclic (using</w:t>
      </w:r>
      <w:r>
        <w:t xml:space="preserve"> </w:t>
      </w:r>
      <w:r>
        <w:rPr>
          <w:rStyle w:val="VerbatimChar"/>
        </w:rPr>
        <w:t xml:space="preserve">bs = 'cc'</w:t>
      </w:r>
      <w:r>
        <w:t xml:space="preserve"> </w:t>
      </w:r>
      <w:r>
        <w:t xml:space="preserve">in</w:t>
      </w:r>
      <w:r>
        <w:t xml:space="preserve"> </w:t>
      </w:r>
      <w:r>
        <w:rPr>
          <w:rStyle w:val="VerbatimChar"/>
        </w:rPr>
        <w:t xml:space="preserve">mgcv</w:t>
      </w:r>
      <w:r>
        <w:t xml:space="preserve">) to constrain the start and end at the same value. A user-specified number of knots is also included in</w:t>
      </w:r>
      <w:r>
        <w:t xml:space="preserve"> </w:t>
      </w:r>
      <m:oMath>
        <m:sSub>
          <m:e>
            <m:r>
              <m:t>f</m:t>
            </m:r>
          </m:e>
          <m:sub>
            <m:r>
              <m:t>2</m:t>
            </m:r>
          </m:sub>
        </m:sSub>
        <m:r>
          <m:t>(</m:t>
        </m:r>
        <m:r>
          <m:t>)</m:t>
        </m:r>
      </m:oMath>
      <w:r>
        <w:t xml:space="preserv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within-year pattern and changes the interpretation of the</w:t>
      </w:r>
      <w:r>
        <w:t xml:space="preserve"> </w:t>
      </w:r>
      <w:r>
        <w:rPr>
          <w:rStyle w:val="VerbatimChar"/>
        </w:rPr>
        <w:t xml:space="preserve">cont_year</w:t>
      </w:r>
      <w:r>
        <w:t xml:space="preserve"> </w:t>
      </w:r>
      <w:r>
        <w:t xml:space="preserve">spline to represent smoothed deviations from that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pPr>
        <w:pStyle w:val="BodyText"/>
      </w:pPr>
      <w:r>
        <w:t xml:space="preserve">If the fits were to differ substantially between model SYD and models S or SY, an interpretation could be difficult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 is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impute an average seasonal pattern with the</w:t>
      </w:r>
      <w:r>
        <w:t xml:space="preserve"> </w:t>
      </w:r>
      <w:r>
        <w:rPr>
          <w:rStyle w:val="VerbatimChar"/>
        </w:rPr>
        <w:t xml:space="preserve">doy</w:t>
      </w:r>
      <w:r>
        <w:t xml:space="preserve"> </w:t>
      </w:r>
      <w:r>
        <w:t xml:space="preserve">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p>
    <w:p>
      <w:pPr>
        <w:pStyle w:val="BodyText"/>
      </w:pPr>
      <w:r>
        <w:t xml:space="preserve">where equation @ref(eq:SYDImod) is the same as equation @ref(eq:SYDmod) with the addition of a tensor-product smoothing spline (</w:t>
      </w:r>
      <w:r>
        <w:rPr>
          <w:rStyle w:val="VerbatimChar"/>
        </w:rPr>
        <w:t xml:space="preserve">ti()</w:t>
      </w:r>
      <w:r>
        <w:t xml:space="preserve"> </w:t>
      </w:r>
      <w:r>
        <w:t xml:space="preserve">in</w:t>
      </w:r>
      <w:r>
        <w:t xml:space="preserve"> </w:t>
      </w:r>
      <w:r>
        <w:rPr>
          <w:rStyle w:val="VerbatimChar"/>
        </w:rPr>
        <w:t xml:space="preserve">mgcv</w:t>
      </w:r>
      <w:r>
        <w:t xml:space="preserve">) that varies smoothly as a function of both</w:t>
      </w:r>
      <w:r>
        <w:t xml:space="preserve"> </w:t>
      </w:r>
      <m:oMath>
        <m:r>
          <m:t>c</m:t>
        </m:r>
        <m:r>
          <m:t>o</m:t>
        </m:r>
        <m:r>
          <m:t>n</m:t>
        </m:r>
        <m:r>
          <m:t>t</m:t>
        </m:r>
        <m:r>
          <m:t>_</m:t>
        </m:r>
        <m:r>
          <m:t>y</m:t>
        </m:r>
        <m:r>
          <m:t>e</m:t>
        </m:r>
        <m:r>
          <m:t>a</m:t>
        </m:r>
        <m:r>
          <m:t>r</m:t>
        </m:r>
      </m:oMath>
      <w:r>
        <w:t xml:space="preserve"> </w:t>
      </w:r>
      <w:r>
        <w:t xml:space="preserve">and</w:t>
      </w:r>
      <w:r>
        <w:t xml:space="preserve"> </w:t>
      </w:r>
      <m:oMath>
        <m:r>
          <m:t>d</m:t>
        </m:r>
        <m:r>
          <m:t>o</m:t>
        </m:r>
        <m:r>
          <m:t>y</m:t>
        </m:r>
      </m:oMath>
      <w:r>
        <w:t xml:space="preserve">. Both</w:t>
      </w:r>
      <w:r>
        <w:t xml:space="preserve"> </w:t>
      </w:r>
      <m:oMath>
        <m:r>
          <m:t>c</m:t>
        </m:r>
        <m:r>
          <m:t>o</m:t>
        </m:r>
        <m:r>
          <m:t>n</m:t>
        </m:r>
        <m:r>
          <m:t>t</m:t>
        </m:r>
        <m:r>
          <m:t>_</m:t>
        </m:r>
        <m:r>
          <m:t>y</m:t>
        </m:r>
        <m:r>
          <m:t>e</m:t>
        </m:r>
        <m:r>
          <m:t>a</m:t>
        </m:r>
        <m:r>
          <m:t>r</m:t>
        </m:r>
      </m:oMath>
      <w:r>
        <w:t xml:space="preserve"> </w:t>
      </w:r>
      <w:r>
        <w:t xml:space="preserve">and</w:t>
      </w:r>
      <w:r>
        <w:t xml:space="preserve"> </w:t>
      </w:r>
      <m:oMath>
        <m:r>
          <m:t>d</m:t>
        </m:r>
        <m:r>
          <m:t>o</m:t>
        </m:r>
        <m:r>
          <m:t>y</m:t>
        </m:r>
      </m:oMath>
      <w:r>
        <w:t xml:space="preserve"> </w:t>
      </w:r>
      <w:r>
        <w:t xml:space="preserve">include their own number of knots, such that the total number of knots for the spline is the product of the two. The need for sufficient knots in SYDI can be satisfied either by sufficiently large values for</w:t>
      </w:r>
      <w:r>
        <w:t xml:space="preserve"> </w:t>
      </w:r>
      <m:oMath>
        <m:sSub>
          <m:e>
            <m:r>
              <m:t>f</m:t>
            </m:r>
          </m:e>
          <m:sub>
            <m:r>
              <m:t>3</m:t>
            </m:r>
          </m:sub>
        </m:sSub>
        <m:r>
          <m:t>(</m:t>
        </m:r>
        <m:r>
          <m:t>)</m:t>
        </m:r>
      </m:oMath>
      <w:r>
        <w:t xml:space="preserve"> </w:t>
      </w:r>
      <w:r>
        <w:t xml:space="preserve">or a sufficiently large value for knots in</w:t>
      </w:r>
      <w:r>
        <w:t xml:space="preserve"> </w:t>
      </w:r>
      <m:oMath>
        <m:sSub>
          <m:e>
            <m:r>
              <m:t>f</m:t>
            </m:r>
          </m:e>
          <m:sub>
            <m:r>
              <m:t>1</m:t>
            </m:r>
          </m:sub>
        </m:sSub>
        <m:r>
          <m:t>(</m:t>
        </m:r>
        <m:r>
          <m:t>)</m:t>
        </m:r>
      </m:oMath>
      <w:r>
        <w:t xml:space="preserve"> </w:t>
      </w:r>
      <w:r>
        <w:t xml:space="preserve">and</w:t>
      </w:r>
      <w:r>
        <w:t xml:space="preserve"> </w:t>
      </w:r>
      <m:oMath>
        <m:sSub>
          <m:e>
            <m:r>
              <m:t>f</m:t>
            </m:r>
          </m:e>
          <m:sub>
            <m:r>
              <m:t>2</m:t>
            </m:r>
          </m:sub>
        </m:sSub>
        <m:r>
          <m:t>(</m:t>
        </m:r>
        <m:r>
          <m:t>)</m:t>
        </m:r>
      </m:oMath>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from model S to a greater extent than model SYD, but all of the splines use the same inputs to smooth the same data. The univariate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 given the fewer knots that are available to the former. The tensor-product spline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 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The distinct aspect of model SYDI is the anticipation that within-year fluctuations will vary smoothly from year to year, which is unlikely for the SFE data and chl-a dynamics in many estuaries because bloom size typically varies between years. Thus, the conceptual motivation for model SYDI and its practical application are not supported for this analysis.</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for Chesapeake Bay water quality related to those proposed here, but for different goals and with different handling of smoothness. They evaluated a</w:t>
      </w:r>
      <w:r>
        <w:t xml:space="preserve"> </w:t>
      </w:r>
      <w:r>
        <w:t xml:space="preserve">“</w:t>
      </w:r>
      <w:r>
        <w:rPr>
          <w:rStyle w:val="VerbatimChar"/>
        </w:rPr>
        <w:t xml:space="preserve">gam0</w:t>
      </w:r>
      <w:r>
        <w:t xml:space="preserve">”</w:t>
      </w:r>
      <w:r>
        <w:t xml:space="preserve"> </w:t>
      </w:r>
      <w:r>
        <w:t xml:space="preserve">with only a cyclic spline for</w:t>
      </w:r>
      <w:r>
        <w:t xml:space="preserve"> </w:t>
      </w:r>
      <w:r>
        <w:rPr>
          <w:rStyle w:val="VerbatimChar"/>
        </w:rPr>
        <w:t xml:space="preserve">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In application, only</w:t>
      </w:r>
      <w:r>
        <w:t xml:space="preserve"> </w:t>
      </w:r>
      <w:r>
        <w:t xml:space="preserve">“</w:t>
      </w:r>
      <w:r>
        <w:rPr>
          <w:rStyle w:val="VerbatimChar"/>
        </w:rPr>
        <w:t xml:space="preserve">gam2</w:t>
      </w:r>
      <w:r>
        <w:t xml:space="preserve">”</w:t>
      </w:r>
      <w:r>
        <w:t xml:space="preserve"> </w:t>
      </w:r>
      <w:r>
        <w:t xml:space="preserve">was used, including the addition of splines as functions of hydrologic variables to account for finer-scale variation. Murphy et al. allowed a maximum number of knots for the</w:t>
      </w:r>
      <w:r>
        <w:t xml:space="preserve"> </w:t>
      </w:r>
      <w:r>
        <w:rPr>
          <w:rStyle w:val="VerbatimChar"/>
        </w:rPr>
        <w:t xml:space="preserve">cont_year</w:t>
      </w:r>
      <w:r>
        <w:t xml:space="preserve"> </w:t>
      </w:r>
      <w:r>
        <w:t xml:space="preserve">spline (</w:t>
      </w:r>
      <m:oMath>
        <m:sSub>
          <m:e>
            <m:r>
              <m:t>f</m:t>
            </m:r>
          </m:e>
          <m:sub>
            <m:r>
              <m:t>1</m:t>
            </m:r>
          </m:sub>
        </m:sSub>
        <m:r>
          <m:t>(</m:t>
        </m:r>
        <m:r>
          <m:t>)</m:t>
        </m:r>
      </m:oMath>
      <w:r>
        <w:t xml:space="preserve">) of 2/3 times the number of years and do not explicitly consider the number of knots in the interaction spline, following an</w:t>
      </w:r>
      <w:r>
        <w:t xml:space="preserve"> </w:t>
      </w:r>
      <w:r>
        <w:rPr>
          <w:i/>
        </w:rPr>
        <w:t xml:space="preserve">ad hoc</w:t>
      </w:r>
      <w:r>
        <w:t xml:space="preserve"> </w:t>
      </w:r>
      <w:r>
        <w:t xml:space="preserve">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w:t>
      </w:r>
      <w:r>
        <w:t xml:space="preserve"> </w:t>
      </w:r>
      <m:oMath>
        <m:sSub>
          <m:e>
            <m:r>
              <m:t>f</m:t>
            </m:r>
          </m:e>
          <m:sub>
            <m:r>
              <m:t>1</m:t>
            </m:r>
          </m:sub>
        </m:sSub>
        <m:r>
          <m:t>(</m:t>
        </m:r>
        <m:r>
          <m:t>)</m:t>
        </m:r>
      </m:oMath>
      <w:r>
        <w:t xml:space="preserve"> </w:t>
      </w:r>
      <w:r>
        <w:t xml:space="preserve">term.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resulting in near ties for AIC between models.</w:t>
      </w:r>
    </w:p>
    <w:p>
      <w:pPr>
        <w:pStyle w:val="BodyText"/>
      </w:pPr>
      <w:r>
        <w:t xml:space="preserve">We visually compare chl-a estimates from models SY, SYD, and SYDI to emphasize that similar fits can be achieved by all of the presented models (Figure @ref(fig:modsumfig), SY is identical to S and is not shown). Models S, SYD, and SYDI were fit to chl-a data from station 34 using a sufficiently high number of knots for the respective splines for each model. Predictions by day of year from each model are visually similar (Figure @ref(fig:modsumfig)a) and closely follow the 1:1 line (Figure @ref(fig:modsumfig)b). However, when contrasting the estimates using only the continuous year smoother (</w:t>
      </w:r>
      <m:oMath>
        <m:sSub>
          <m:e>
            <m:r>
              <m:t>f</m:t>
            </m:r>
          </m:e>
          <m:sub>
            <m:r>
              <m:t>1</m:t>
            </m:r>
          </m:sub>
        </m:sSub>
        <m:r>
          <m:t>(</m:t>
        </m:r>
        <m:r>
          <m:t>)</m:t>
        </m:r>
      </m:oMath>
      <w:r>
        <w:t xml:space="preserve">), the fits differ substantially because of how each model allocates variation to the splines. These results are also reflected in differences in the effective degrees of freedom among the additive components of each model (Table @ref(tab:modstrtab)).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m:oMath>
        <m:sSub>
          <m:e>
            <m:r>
              <m:t>f</m:t>
            </m:r>
          </m:e>
          <m:sub>
            <m:r>
              <m:t>1</m:t>
            </m:r>
          </m:sub>
        </m:sSub>
        <m:r>
          <m:t>(</m:t>
        </m:r>
        <m:r>
          <m:t>)</m:t>
        </m:r>
      </m:oMath>
      <w:r>
        <w:t xml:space="preserve"> </w:t>
      </w:r>
      <w:r>
        <w:t xml:space="preserve">to evaluate chl-a trends across the monitoring stations in the SFE. This model was chosen because of the relatively faster processing time to fit the model, while providing nearly identical explanatory power as compared to the other models (Table @ref(tab:modstrtab)).</w:t>
      </w:r>
    </w:p>
    <w:p>
      <w:pPr>
        <w:pStyle w:val="Heading3"/>
      </w:pPr>
      <w:bookmarkStart w:id="35" w:name="X79341b4d8d7ec317f2877c2fc7a73487dbf3a2a"/>
      <w:r>
        <w:t xml:space="preserve">Second-stage analysis: Seasonal features with uncertainties</w:t>
      </w:r>
      <w:bookmarkEnd w:id="35"/>
    </w:p>
    <w:p>
      <w:pPr>
        <w:pStyle w:val="FirstParagraph"/>
      </w:pPr>
      <w:r>
        <w:t xml:space="preserve">In the second-stage analysis, we estimated a seasonal average, such as the mean spring chl-a concentrations, with the associated uncertainty in each year. We defined</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cont_year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the approximate multivariate normality of the sampling distribution of</w:t>
      </w:r>
      <w:r>
        <w:t xml:space="preserve"> </w:t>
      </w:r>
      <m:oMath>
        <m:acc>
          <m:accPr>
            <m:chr m:val="̂"/>
          </m:accPr>
          <m:e>
            <m:r>
              <m:rPr>
                <m:sty m:val="b"/>
              </m:rPr>
              <m:t>β</m:t>
            </m:r>
          </m:e>
        </m:acc>
      </m:oMath>
      <w:r>
        <w:t xml:space="preserve">.</w:t>
      </w:r>
    </w:p>
    <w:p>
      <w:pPr>
        <w:pStyle w:val="Heading3"/>
      </w:pPr>
      <w:bookmarkStart w:id="36" w:name="Xbb2bf851335ed0e6d3f492840f782620d429aef"/>
      <w:r>
        <w:t xml:space="preserve">Third-stage analysis: Trend analysis of seasonal features with uncertainties</w:t>
      </w:r>
      <w:bookmarkEnd w:id="36"/>
    </w:p>
    <w:p>
      <w:pPr>
        <w:pStyle w:val="FirstParagraph"/>
      </w:pPr>
      <w:r>
        <w:t xml:space="preserve">In stage three of the analysis, we used a meta-analysis method to evaluate linear trends across years of seasonal-average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This analysis provided a direct answer to the question: Is there a significant linear trend across a group of years in a seasonal average? For example, is there a trend in the spring chl-a average from 1990 to 2000? This question can also be posed in a moving-window manner across a time 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mixed-effects meta-analysis model can estimate linear trends when each observation has an associated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follows a normal distribution with mean 0 and variance,</w:t>
      </w:r>
      <w:r>
        <w:t xml:space="preserve"> </w:t>
      </w:r>
      <m:oMath>
        <m:sSubSup>
          <m:e>
            <m:r>
              <m:t>σ</m:t>
            </m:r>
          </m:e>
          <m:sub>
            <m:r>
              <m:t>b</m:t>
            </m:r>
          </m:sub>
          <m:sup>
            <m:r>
              <m:t>2</m:t>
            </m:r>
          </m:sup>
        </m:sSubSup>
      </m:oMath>
      <w:r>
        <w:t xml:space="preserve">, to be estimated.</w:t>
      </w:r>
    </w:p>
    <w:p>
      <w:pPr>
        <w:pStyle w:val="BodyText"/>
      </w:pPr>
      <w:r>
        <w:t xml:space="preserve">We estimated the model (equation @ref(eq:mixmet))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The default estimation method for</w:t>
      </w:r>
      <w:r>
        <w:t xml:space="preserve"> </w:t>
      </w:r>
      <w:r>
        <w:rPr>
          <w:i/>
        </w:rPr>
        <w:t xml:space="preserve">mixmeta</w:t>
      </w:r>
      <w:r>
        <w:t xml:space="preserve">, restricted maximum likelihood (REML), was used. The meta-analysis models were applied to a chosen sequence or</w:t>
      </w:r>
      <w:r>
        <w:t xml:space="preserve"> </w:t>
      </w:r>
      <w:r>
        <w:t xml:space="preserve">“</w:t>
      </w:r>
      <w:r>
        <w:t xml:space="preserve">window</w:t>
      </w:r>
      <w:r>
        <w:t xml:space="preserve">”</w:t>
      </w:r>
      <w:r>
        <w:t xml:space="preserve"> </w:t>
      </w:r>
      <w:r>
        <w:t xml:space="preserve">of years for estimating the linear trend.</w:t>
      </w:r>
    </w:p>
    <w:p>
      <w:pPr>
        <w:pStyle w:val="Heading3"/>
      </w:pPr>
      <w:bookmarkStart w:id="37" w:name="trend-comparisons"/>
      <w:r>
        <w:t xml:space="preserve">Trend comparisons</w:t>
      </w:r>
      <w:bookmarkEnd w:id="37"/>
    </w:p>
    <w:p>
      <w:pPr>
        <w:pStyle w:val="FirstParagraph"/>
      </w:pPr>
      <w:r>
        <w:t xml:space="preserve">The above methods were applied to each station by evaluating changes in seasonal averages from January to June and July to December for approximately ten year moving windows from 1991 to 2019. The choice of within-year seasons are relevant to phytoplankton bloom phenology in the SFE</w:t>
      </w:r>
      <w:r>
        <w:t xml:space="preserve"> </w:t>
      </w:r>
      <w:r>
        <w:t xml:space="preserve">(Cloern et al.,</w:t>
      </w:r>
      <w:r>
        <w:t xml:space="preserve"> </w:t>
      </w:r>
      <w:hyperlink w:anchor="ref-Cloern20">
        <w:r>
          <w:rPr>
            <w:rStyle w:val="Hyperlink"/>
          </w:rPr>
          <w:t xml:space="preserve">2020</w:t>
        </w:r>
      </w:hyperlink>
      <w:r>
        <w:t xml:space="preserve">)</w:t>
      </w:r>
      <w:r>
        <w:t xml:space="preserve">.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1991-2000, 2000-2010, and 2010-2019.</w:t>
      </w:r>
    </w:p>
    <w:p>
      <w:pPr>
        <w:pStyle w:val="BodyText"/>
      </w:pPr>
      <w:r>
        <w:t xml:space="preserve">Finally, trend results from the meta-analysis regression method for each season and different time periods were compared to</w:t>
      </w:r>
      <w:r>
        <w:t xml:space="preserve"> </w:t>
      </w:r>
      <w:r>
        <w:t xml:space="preserve">“</w:t>
      </w:r>
      <w:r>
        <w:t xml:space="preserve">naive</w:t>
      </w:r>
      <w:r>
        <w:t xml:space="preserve">”</w:t>
      </w:r>
      <w:r>
        <w:t xml:space="preserve"> </w:t>
      </w:r>
      <w:r>
        <w:t xml:space="preserve">across-year regressions that do not propagate uncertainty to demonstrate how different and potentially misleading conclusions can be obtained. Trend estimates were compared to 1) trends from ordinary least squares (OLS) regression applied to seasonal averages from the raw data and 2) trends from OLS regression applied to GAM seasonal averages. Select examples were used where differences were pronounced to illustrate false positive or negatives that may occur with alternative methods. This analysis was then applied to all stations.</w:t>
      </w:r>
    </w:p>
    <w:p>
      <w:pPr>
        <w:pStyle w:val="Heading1"/>
      </w:pPr>
      <w:bookmarkStart w:id="38" w:name="results"/>
      <w:r>
        <w:t xml:space="preserve">Results</w:t>
      </w:r>
      <w:bookmarkEnd w:id="38"/>
    </w:p>
    <w:p>
      <w:pPr>
        <w:pStyle w:val="Heading2"/>
      </w:pPr>
      <w:bookmarkStart w:id="39" w:name="model-performance-and-predictions"/>
      <w:r>
        <w:t xml:space="preserve">Model performance and predictions</w:t>
      </w:r>
      <w:bookmarkEnd w:id="39"/>
    </w:p>
    <w:p>
      <w:pPr>
        <w:pStyle w:val="FirstParagraph"/>
      </w:pPr>
      <w:r>
        <w:t xml:space="preserve">Model predictions for chl-a trends across all stations had an average R-squared value of 71% (Table @ref(tab:modprftab)) and ranging from 59% (station 22) to 78% (station 18). GAM predictions from north to south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p>
      <w:pPr>
        <w:pStyle w:val="Heading2"/>
      </w:pPr>
      <w:bookmarkStart w:id="40" w:name="inter-annual-trend-estimates"/>
      <w:r>
        <w:t xml:space="preserve">Inter-annual trend estimates</w:t>
      </w:r>
      <w:bookmarkEnd w:id="40"/>
    </w:p>
    <w:p>
      <w:pPr>
        <w:pStyle w:val="FirstParagraph"/>
      </w:pPr>
      <w:r>
        <w:t xml:space="preserve">Estimates of linear trends in seasonal averages across roughly ten-year windows for different seasons are shown for station 34 (Figure @ref(fig:trnddat)). Plots a-c show trends in January to June averages while plots d-f show trends in July to December averages.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from 1991 to 2000, whereas July to December chl-a did not change significantly.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more pronounced at southern stations. Figure @ref(fig:trndmap) shows results from similar analyses as those in Figure @ref(fig:trnddat), but applied to all stations. Mixed-effects meta-analysis regressions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decreases were observed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BodyText"/>
      </w:pPr>
      <w:r>
        <w:t xml:space="preserve">Results from a ten-year moving window comparison of seasonal trends provided additional context on when significant changes were occurring at each station (Figure @ref(fig:winchg)).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only in the July to December period. Additionally, chl-a at the more northern stations has not changed in recent years for both seasonal periods. For most stations and seasonal periods, a change from increasing to decreasing chl-a occurred around 2007.</w:t>
      </w:r>
    </w:p>
    <w:p>
      <w:pPr>
        <w:pStyle w:val="Heading2"/>
      </w:pPr>
      <w:bookmarkStart w:id="41" w:name="importance-of-uncertainty-propagation"/>
      <w:r>
        <w:t xml:space="preserve">Importance of uncertainty propagation</w:t>
      </w:r>
      <w:bookmarkEnd w:id="41"/>
    </w:p>
    <w:p>
      <w:pPr>
        <w:pStyle w:val="FirstParagraph"/>
      </w:pPr>
      <w:r>
        <w:t xml:space="preserve">Results showing trend estimates from meta-analysis on GAM seasonal estimates provided different conclusions than those from either OLS regression through seasonal averages from raw data (Figure @ref(fig:trndcmpex) row 1) or OLS regression through GAM estimates without uncertainty propagation (Figure @ref(fig:trndcmpex) row 2). Figure @ref(fig:trndcmpex)a shows trend estimates for station 36 for January to July averages from 1991 to 2000. Only the meta-analysis regression results show a trend in this example (based on</w:t>
      </w:r>
      <w:r>
        <w:t xml:space="preserve"> </w:t>
      </w:r>
      <m:oMath>
        <m:r>
          <m:t>p</m:t>
        </m:r>
        <m:r>
          <m:t>&lt;</m:t>
        </m:r>
        <m:r>
          <m:t>0.05</m:t>
        </m:r>
      </m:oMath>
      <w:r>
        <w:t xml:space="preserve">). The OLS regression on observed estimates (top plot) and OLS regression on GAM estimates (middle plot) did not identify trends. Figure @ref(fig:trndcmpex)b shows trend estimates for the same station for July to December averages from 2000 to 2010. Unlike the first example, only the top figure shows a trend, whereas the bottom two plots do not show trends. In both cases, only the meta-analysis results give reliable conclusions because of full propagation of uncertainty across methods. Even in cases where the p-value threshold is not of interest, the confidence intervals from the alternative methods will be inaccurate.</w:t>
      </w:r>
    </w:p>
    <w:p>
      <w:pPr>
        <w:pStyle w:val="BodyText"/>
      </w:pPr>
      <w:r>
        <w:t xml:space="preserve">Applying the same comparison to all stations showed that different trend analysis methods provided conflicting information on the magnitude and significance of the seasonal chl-a changes in each decade (Figure @ref(fig:trndcmp10)). In many cases, the slope estimates were similar in magnitude, with some exceptions at the more southern stations where the OLS estimates suggested a larger trend than the meta-analysis methods. More importantly, differences in the magnitude of the confidence intervals between the OLS models applied to the GAM averages and the meta-analyses were also observed, reflecting the ability of the latter to more accurately assess significance of trends by accounting for uncertainty in the average estimates.</w:t>
      </w:r>
    </w:p>
    <w:p>
      <w:pPr>
        <w:pStyle w:val="Heading1"/>
      </w:pPr>
      <w:bookmarkStart w:id="42" w:name="discussion"/>
      <w:r>
        <w:t xml:space="preserve">Discussion</w:t>
      </w:r>
      <w:bookmarkEnd w:id="42"/>
    </w:p>
    <w:p>
      <w:pPr>
        <w:pStyle w:val="FirstParagraph"/>
      </w:pPr>
      <w:r>
        <w:t xml:space="preserve">Propagation of uncertainty from within-year features of estimated GAMs to across-year trends using mixed-effects meta-analysis is a new approach that can address different questions than previous methods. Our approach has several advantages over more conventional approaches for analysis of water quality data from long-term monitoring programs. GAMs are capable of modelling time series with missing observations or irregular sampling which can complicate trend assessment and comparison of trends between locations</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(Helsel et al.,</w:t>
      </w:r>
      <w:r>
        <w:t xml:space="preserve"> </w:t>
      </w:r>
      <w:hyperlink w:anchor="ref-Helsel20">
        <w:r>
          <w:rPr>
            <w:rStyle w:val="Hyperlink"/>
          </w:rPr>
          <w:t xml:space="preserve">2020</w:t>
        </w:r>
      </w:hyperlink>
      <w:r>
        <w:t xml:space="preserve">; Hirsch et al.,</w:t>
      </w:r>
      <w:r>
        <w:t xml:space="preserve"> </w:t>
      </w:r>
      <w:hyperlink w:anchor="ref-Hirsch82">
        <w:r>
          <w:rPr>
            <w:rStyle w:val="Hyperlink"/>
          </w:rPr>
          <w:t xml:space="preserve">1982</w:t>
        </w:r>
      </w:hyperlink>
      <w:r>
        <w:t xml:space="preserve">)</w:t>
      </w:r>
      <w:r>
        <w:t xml:space="preserve">. These methods only assess the direction and significance of comparisons between year pairs, and importantly, do not account for full propagation of uncertainty inherent in raw observations if the raw data are aggregated to meet test requirements. Aggregation of raw data, e.g., averaging of observations within a year or season to comply with the requirements of Kendall tests, risks loss of information by removing variation between observations at smaller time scales. The logical outcome is increased risk of incorrect conclusions from test results.</w:t>
      </w:r>
    </w:p>
    <w:p>
      <w:pPr>
        <w:pStyle w:val="BodyText"/>
      </w:pPr>
      <w:r>
        <w:t xml:space="preserve">Incorrect conclusions on trends can have dramatic consequences for regulated parties under existing water quality compliance frameworks</w:t>
      </w:r>
      <w:r>
        <w:t xml:space="preserve"> </w:t>
      </w:r>
      <w:r>
        <w:t xml:space="preserve">(Smith et al.,</w:t>
      </w:r>
      <w:r>
        <w:t xml:space="preserve"> </w:t>
      </w:r>
      <w:hyperlink w:anchor="ref-Smith01">
        <w:r>
          <w:rPr>
            <w:rStyle w:val="Hyperlink"/>
          </w:rPr>
          <w:t xml:space="preserve">2001</w:t>
        </w:r>
      </w:hyperlink>
      <w:r>
        <w:t xml:space="preserve">)</w:t>
      </w:r>
      <w:r>
        <w:t xml:space="preserve">. Our examples in Figures @ref(fig:trndcmpex) and @ref(fig:trndcmp10) demonstrate these risks if propagation of uncertainty from raw observations across methods is unaccounted for in trend assessment. Our assessment of trends using OLS regression applied to seasonal averages from the raw observations is effectively like averaging results within a year and applying a simple Kendall test. In many cases the results may be similar, but loss of information with averaging can lead to increased Type I or II error rates depending on characteristics of the raw data and the method used for their evaluation</w:t>
      </w:r>
      <w:r>
        <w:t xml:space="preserve"> </w:t>
      </w:r>
      <w:r>
        <w:t xml:space="preserve">(Shabman and Smith,</w:t>
      </w:r>
      <w:r>
        <w:t xml:space="preserve"> </w:t>
      </w:r>
      <w:hyperlink w:anchor="ref-Shabman03">
        <w:r>
          <w:rPr>
            <w:rStyle w:val="Hyperlink"/>
          </w:rPr>
          <w:t xml:space="preserve">2003</w:t>
        </w:r>
      </w:hyperlink>
      <w:r>
        <w:t xml:space="preserve">)</w:t>
      </w:r>
      <w:r>
        <w:t xml:space="preserve">. Our examples demonstrated the potential for incorrect conclusions at specific monitoring locations and at much larger spatial scales across all stations.</w:t>
      </w:r>
    </w:p>
    <w:p>
      <w:pPr>
        <w:pStyle w:val="BodyText"/>
      </w:pPr>
      <w:r>
        <w:t xml:space="preserve">Results here also show that GAM structure (i.e., choice of smoothing terms) was less important than allowing the model sufficient freedom to fit the data. This is an important conclusion that provides guidance on how GAMs could be used to model time series from long-term environmental monitoring programs. Models with separate smoothers for continuous year and day of year can produce nearly identical results in the predicted trends if the knots are sufficiently high to allow the GAMs to be fit as intended by the methods in the mgcv package (Figure @ref(fig:modsumfig)). The approach presented here leverages the ability of GAMs to objectively estimate smoothed trends across years by identifying an optimal level of smoothing using generalized cross-validation to extract an underlying signal in the observed data</w:t>
      </w:r>
      <w:r>
        <w:t xml:space="preserve"> </w:t>
      </w:r>
      <w:r>
        <w:t xml:space="preserve">(Wood,</w:t>
      </w:r>
      <w:r>
        <w:t xml:space="preserve"> </w:t>
      </w:r>
      <w:hyperlink w:anchor="ref-Wood17">
        <w:r>
          <w:rPr>
            <w:rStyle w:val="Hyperlink"/>
          </w:rPr>
          <w:t xml:space="preserve">2017</w:t>
        </w:r>
      </w:hyperlink>
      <w:r>
        <w:t xml:space="preserve">,</w:t>
      </w:r>
      <w:r>
        <w:t xml:space="preserve"> </w:t>
      </w:r>
      <w:hyperlink w:anchor="ref-Wood04">
        <w:r>
          <w:rPr>
            <w:rStyle w:val="Hyperlink"/>
          </w:rPr>
          <w:t xml:space="preserve">2004</w:t>
        </w:r>
      </w:hyperlink>
      <w:r>
        <w:t xml:space="preserve">)</w:t>
      </w:r>
      <w:r>
        <w:t xml:space="preserve">.</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This is especially problematic for policy analysis or regulatory decisions if the results change based on arbitrary decisions of the analyst. Because these decisions are not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3" w:name="future-work"/>
      <w:r>
        <w:t xml:space="preserve">Future work</w:t>
      </w:r>
      <w:bookmarkEnd w:id="43"/>
    </w:p>
    <w:p>
      <w:pPr>
        <w:pStyle w:val="FirstParagraph"/>
      </w:pPr>
      <w:r>
        <w:t xml:space="preserve">Additional work could be conducted to further strengthen the conclusions based on trends from meta-analysis regression applied to the GAM seasonal averages. Our third stage analyses require</w:t>
      </w:r>
      <w:r>
        <w:t xml:space="preserve"> </w:t>
      </w:r>
      <w:r>
        <w:rPr>
          <w:i/>
        </w:rPr>
        <w:t xml:space="preserve">a priori</w:t>
      </w:r>
      <w:r>
        <w:t xml:space="preserve"> </w:t>
      </w:r>
      <w:r>
        <w:t xml:space="preserve">decisions on long-term time scales of interest and future work could generalize these choices.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Additional methods could be developed using objective criteria to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Additional explanatory variables could be identified that may be associated with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given how GAMs could be used to assess different questions. Our goal was to describe chl-a changes relative to time, where the predictors were variations on a general theme (e.g., season vs. year). This is a different application from using GAMs with predictors selected to explain those changes over time. Therefore, using our approach to evaluate explanatory variables will require testing of different model structures.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(Cloern et al.,</w:t>
      </w:r>
      <w:r>
        <w:t xml:space="preserve"> </w:t>
      </w:r>
      <w:hyperlink w:anchor="ref-Cloern07">
        <w:r>
          <w:rPr>
            <w:rStyle w:val="Hyperlink"/>
          </w:rPr>
          <w:t xml:space="preserve">2007</w:t>
        </w:r>
      </w:hyperlink>
      <w:r>
        <w:t xml:space="preserve">; Jassby et al.,</w:t>
      </w:r>
      <w:r>
        <w:t xml:space="preserve"> </w:t>
      </w:r>
      <w:hyperlink w:anchor="ref-Jassby02">
        <w:r>
          <w:rPr>
            <w:rStyle w:val="Hyperlink"/>
          </w:rPr>
          <w:t xml:space="preserve">2002</w:t>
        </w:r>
      </w:hyperlink>
      <w:r>
        <w:t xml:space="preserve">)</w:t>
      </w:r>
      <w:r>
        <w:t xml:space="preserve">. The open-source wqtrends R package</w:t>
      </w:r>
      <w:r>
        <w:t xml:space="preserve"> </w:t>
      </w:r>
      <w:r>
        <w:t xml:space="preserve">(Beck et al.,</w:t>
      </w:r>
      <w:r>
        <w:t xml:space="preserve"> </w:t>
      </w:r>
      <w:hyperlink w:anchor="ref-Beck21">
        <w:r>
          <w:rPr>
            <w:rStyle w:val="Hyperlink"/>
          </w:rPr>
          <w:t xml:space="preserve">2021</w:t>
        </w:r>
      </w:hyperlink>
      <w:r>
        <w:t xml:space="preserve">)</w:t>
      </w:r>
      <w:r>
        <w:t xml:space="preserve"> </w:t>
      </w:r>
      <w:r>
        <w:t xml:space="preserve">developed for this manuscript can be used for these analyses to provide additional insight into potential drivers of water quality change in the SFE and other estuarine systems.</w:t>
      </w:r>
    </w:p>
    <w:p>
      <w:pPr>
        <w:pStyle w:val="Heading1"/>
      </w:pPr>
      <w:bookmarkStart w:id="44" w:name="acknowledgments"/>
      <w:r>
        <w:t xml:space="preserve">Acknowledgments</w:t>
      </w:r>
      <w:bookmarkEnd w:id="44"/>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5" w:name="figures"/>
      <w:r>
        <w:t xml:space="preserve">Figures</w:t>
      </w:r>
      <w:bookmarkEnd w:id="45"/>
    </w:p>
    <w:p>
      <w:pPr>
        <w:pStyle w:val="CaptionedFigure"/>
      </w:pPr>
      <w:r>
        <w:drawing>
          <wp:inline>
            <wp:extent cx="5334000" cy="4667250"/>
            <wp:effectExtent b="0" l="0" r="0" t="0"/>
            <wp:docPr descr="Observed chl-a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6"/>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chl-a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7"/>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similar except for a few observations at extreme values (a, b), but they vary in how they allocate contributions to the predictions among different additive splines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8"/>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similar except for a few observations at extreme values (a, b), but they vary in how they allocate contributions to the predictions among different additive splines (c). The 1:1 lines are in red to facilitate comparisons.</w:t>
      </w:r>
    </w:p>
    <w:p>
      <w:pPr>
        <w:pStyle w:val="CaptionedFigure"/>
      </w:pPr>
      <w:r>
        <w:drawing>
          <wp:inline>
            <wp:extent cx="5334000" cy="2909454"/>
            <wp:effectExtent b="0" l="0" r="0" t="0"/>
            <wp:docPr descr="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_{10}-slope (+/- 95 % confidence interval) in the sub-plot titles. ns: not significant at \alpha = 0.05, * p &lt; 0.05" title="" id="1" name="Picture"/>
            <a:graphic>
              <a:graphicData uri="http://schemas.openxmlformats.org/drawingml/2006/picture">
                <pic:pic>
                  <pic:nvPicPr>
                    <pic:cNvPr descr="figs/trnddat.png" id="0" name="Picture"/>
                    <pic:cNvPicPr>
                      <a:picLocks noChangeArrowheads="1" noChangeAspect="1"/>
                    </pic:cNvPicPr>
                  </pic:nvPicPr>
                  <pic:blipFill>
                    <a:blip r:embed="rId49"/>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w:t>
      </w:r>
      <m:oMath>
        <m:sSub>
          <m:e>
            <m:r>
              <m:t>​</m:t>
            </m:r>
          </m:e>
          <m:sub>
            <m:r>
              <m:t>10</m:t>
            </m:r>
          </m:sub>
        </m:sSub>
      </m:oMath>
      <w:r>
        <w:t xml:space="preserve">-slope (+/- 95 % confidence interval) in the sub-plot titles. ns: not significant at</w:t>
      </w:r>
      <w:r>
        <w:t xml:space="preserve"> </w:t>
      </w:r>
      <m:oMath>
        <m:r>
          <m:t>α</m:t>
        </m:r>
      </m:oMath>
      <w:r>
        <w:t xml:space="preserve"> </w:t>
      </w:r>
      <w:r>
        <w:t xml:space="preserve">= 0.05, * p &lt; 0.05</w:t>
      </w:r>
    </w:p>
    <w:p>
      <w:pPr>
        <w:pStyle w:val="CaptionedFigure"/>
      </w:pPr>
      <w:r>
        <w:drawing>
          <wp:inline>
            <wp:extent cx="5334000" cy="4622800"/>
            <wp:effectExtent b="0" l="0" r="0" t="0"/>
            <wp:docPr descr="Interannual trend estimates of seasonal average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0"/>
                    <a:stretch>
                      <a:fillRect/>
                    </a:stretch>
                  </pic:blipFill>
                  <pic:spPr bwMode="auto">
                    <a:xfrm>
                      <a:off x="0" y="0"/>
                      <a:ext cx="5334000" cy="4622800"/>
                    </a:xfrm>
                    <a:prstGeom prst="rect">
                      <a:avLst/>
                    </a:prstGeom>
                    <a:noFill/>
                    <a:ln w="9525">
                      <a:noFill/>
                      <a:headEnd/>
                      <a:tailEnd/>
                    </a:ln>
                  </pic:spPr>
                </pic:pic>
              </a:graphicData>
            </a:graphic>
          </wp:inline>
        </w:drawing>
      </w:r>
    </w:p>
    <w:p>
      <w:pPr>
        <w:pStyle w:val="ImageCaption"/>
      </w:pPr>
      <w:r>
        <w:t xml:space="preserve">Interannual trend estimates of seasonal averages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w:t>
      </w:r>
    </w:p>
    <w:p>
      <w:pPr>
        <w:pStyle w:val="CaptionedFigure"/>
      </w:pPr>
      <w:r>
        <w:drawing>
          <wp:inline>
            <wp:extent cx="5334000" cy="4473677"/>
            <wp:effectExtent b="0" l="0" r="0" t="0"/>
            <wp:docPr descr="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 title="" id="1" name="Picture"/>
            <a:graphic>
              <a:graphicData uri="http://schemas.openxmlformats.org/drawingml/2006/picture">
                <pic:pic>
                  <pic:nvPicPr>
                    <pic:cNvPr descr="figs/trndcmpex.png" id="0" name="Picture"/>
                    <pic:cNvPicPr>
                      <a:picLocks noChangeArrowheads="1" noChangeAspect="1"/>
                    </pic:cNvPicPr>
                  </pic:nvPicPr>
                  <pic:blipFill>
                    <a:blip r:embed="rId52"/>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w:t>
      </w:r>
    </w:p>
    <w:p>
      <w:pPr>
        <w:pStyle w:val="CaptionedFigure"/>
      </w:pPr>
      <w:r>
        <w:drawing>
          <wp:inline>
            <wp:extent cx="5334000" cy="4267200"/>
            <wp:effectExtent b="0" l="0" r="0" t="0"/>
            <wp:docPr descr="Trend estimate comparisons for three models applied to seasonal averages of chl-a in different annual periods at each station. The “OLS raw” trend model is based on an ordinary least squares (OLS) regression fit to the seasonal averages of chl-a from the raw data, the “OLS GAM” trend model is based on an OLS regression fit to the seasonal averages of chl-a from the GAM model (without error propagation), and the “Meta-analysis GAM” trend model is based on a meta-analysis regression fit to the seasonal averages of chl-a from the GAM model. Values for each model are the log_{10}-slope estimates (+/- 95% confidence interval) as annual change per year within each season, with line style denoting trend significance." title="" id="1" name="Picture"/>
            <a:graphic>
              <a:graphicData uri="http://schemas.openxmlformats.org/drawingml/2006/picture">
                <pic:pic>
                  <pic:nvPicPr>
                    <pic:cNvPr descr="figs/trndcmp10.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each station. The</w:t>
      </w:r>
      <w:r>
        <w:t xml:space="preserve"> </w:t>
      </w:r>
      <w:r>
        <w:t xml:space="preserve">“</w:t>
      </w:r>
      <w:r>
        <w:t xml:space="preserve">OLS raw</w:t>
      </w:r>
      <w:r>
        <w:t xml:space="preserve">”</w:t>
      </w:r>
      <w:r>
        <w:t xml:space="preserve"> </w:t>
      </w:r>
      <w:r>
        <w:t xml:space="preserve">trend model is based on an ordinary least squares (OLS) regression fit to the seasonal averages of chl-a from the raw data, the</w:t>
      </w:r>
      <w:r>
        <w:t xml:space="preserve"> </w:t>
      </w:r>
      <w:r>
        <w:t xml:space="preserve">“</w:t>
      </w:r>
      <w:r>
        <w:t xml:space="preserve">OLS GAM</w:t>
      </w:r>
      <w:r>
        <w:t xml:space="preserve">”</w:t>
      </w:r>
      <w:r>
        <w:t xml:space="preserve"> </w:t>
      </w:r>
      <w:r>
        <w:t xml:space="preserve">trend model is based on an OLS regression fit to the seasonal averages of chl-a from the GAM model (without error propagation), and the</w:t>
      </w:r>
      <w:r>
        <w:t xml:space="preserve"> </w:t>
      </w:r>
      <w:r>
        <w:t xml:space="preserve">“</w:t>
      </w:r>
      <w:r>
        <w:t xml:space="preserve">Meta-analysis GAM</w:t>
      </w:r>
      <w:r>
        <w:t xml:space="preserve">”</w:t>
      </w:r>
      <w:r>
        <w:t xml:space="preserve"> </w:t>
      </w:r>
      <w:r>
        <w:t xml:space="preserve">trend model is based on a meta-analysis regression fit to the seasonal averages of chl-a from the GAM model. Values for each model are the log</w:t>
      </w:r>
      <m:oMath>
        <m:sSub>
          <m:e>
            <m:r>
              <m:t>​</m:t>
            </m:r>
          </m:e>
          <m:sub>
            <m:r>
              <m:t>10</m:t>
            </m:r>
          </m:sub>
        </m:sSub>
      </m:oMath>
      <w:r>
        <w:t xml:space="preserve">-slope estimates (+/- 95% confidence interval) as annual change per year within each season, with line style denoting trend significance.</w:t>
      </w:r>
    </w:p>
    <w:p>
      <w:pPr>
        <w:pStyle w:val="Heading1"/>
      </w:pPr>
      <w:bookmarkStart w:id="54" w:name="tables"/>
      <w:r>
        <w:t xml:space="preserve">Tables</w:t>
      </w:r>
      <w:bookmarkEnd w:id="54"/>
    </w:p>
    <w:p>
      <w:pPr>
        <w:pStyle w:val="TableCaption"/>
      </w:pPr>
      <w:r>
        <w:t xml:space="preserve">Station locations, sample sizes (from 1991 to 2019), and summary values (median, minimum, maximum) for chl-a (</w:t>
      </w:r>
      <m:oMath>
        <m:r>
          <m:t>μ</m:t>
        </m:r>
      </m:oMath>
      <w:r>
        <w:t xml:space="preserve">g L</w:t>
      </w:r>
      <m:oMath>
        <m:sSup>
          <m:e>
            <m:r>
              <m:t>​</m:t>
            </m:r>
          </m:e>
          <m:sup>
            <m:r>
              <m:t>−</m:t>
            </m:r>
            <m:r>
              <m:t>1</m:t>
            </m:r>
          </m:sup>
        </m:sSup>
      </m:oMath>
      <w:r>
        <w:t xml:space="preserve">). Stations are arranged from north to south.</w:t>
      </w:r>
    </w:p>
    <w:tbl>
      <w:tblPr>
        <w:tblStyle w:val="Table"/>
        <w:tblW w:type="pct" w:w="0.0"/>
        <w:tblLook w:firstRow="1"/>
        <w:tblCaption w:val="Station locations, sample sizes (from 1991 to 2019), and summary values (median, minimum, maximum) for chl-a (\mug L^{-1}). Stations are arranged from north to south."/>
      </w:tblPr>
      <w:tblGrid/>
      <w:tr>
        <w:trPr>
          <w:cnfStyle w:firstRow="1"/>
        </w:trPr>
        <w:tc>
          <w:tcPr>
            <w:tcBorders>
              <w:bottom w:val="single"/>
            </w:tcBorders>
            <w:vAlign w:val="bottom"/>
          </w:tcPr>
          <w:p>
            <w:pPr>
              <w:pStyle w:val="Compact"/>
              <w:jc w:val="right"/>
            </w:pPr>
            <w:r>
              <w:t xml:space="preserve">Station</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Med.</w:t>
            </w:r>
          </w:p>
        </w:tc>
        <w:tc>
          <w:tcPr>
            <w:tcBorders>
              <w:bottom w:val="single"/>
            </w:tcBorders>
            <w:vAlign w:val="bottom"/>
          </w:tcPr>
          <w:p>
            <w:pPr>
              <w:pStyle w:val="Compact"/>
              <w:jc w:val="right"/>
            </w:pPr>
            <w:r>
              <w:t xml:space="preserve">Min.</w:t>
            </w:r>
          </w:p>
        </w:tc>
        <w:tc>
          <w:tcPr>
            <w:tcBorders>
              <w:bottom w:val="single"/>
            </w:tcBorders>
            <w:vAlign w:val="bottom"/>
          </w:tcPr>
          <w:p>
            <w:pPr>
              <w:pStyle w:val="Compact"/>
              <w:jc w:val="right"/>
            </w:pPr>
            <w:r>
              <w:t xml:space="preserve">Max.</w:t>
            </w:r>
          </w:p>
        </w:tc>
      </w:tr>
      <w:tr>
        <w:tc>
          <w:p>
            <w:pPr>
              <w:pStyle w:val="Compact"/>
              <w:jc w:val="right"/>
            </w:pPr>
            <w:r>
              <w:t xml:space="preserve">18</w:t>
            </w:r>
          </w:p>
        </w:tc>
        <w:tc>
          <w:p>
            <w:pPr>
              <w:pStyle w:val="Compact"/>
              <w:jc w:val="right"/>
            </w:pPr>
            <w:r>
              <w:t xml:space="preserve">37.836</w:t>
            </w:r>
          </w:p>
        </w:tc>
        <w:tc>
          <w:p>
            <w:pPr>
              <w:pStyle w:val="Compact"/>
              <w:jc w:val="right"/>
            </w:pPr>
            <w:r>
              <w:t xml:space="preserve">-122.418</w:t>
            </w:r>
          </w:p>
        </w:tc>
        <w:tc>
          <w:p>
            <w:pPr>
              <w:pStyle w:val="Compact"/>
              <w:jc w:val="right"/>
            </w:pPr>
            <w:r>
              <w:t xml:space="preserve">414</w:t>
            </w:r>
          </w:p>
        </w:tc>
        <w:tc>
          <w:p>
            <w:pPr>
              <w:pStyle w:val="Compact"/>
              <w:jc w:val="right"/>
            </w:pPr>
            <w:r>
              <w:t xml:space="preserve">3.6</w:t>
            </w:r>
          </w:p>
        </w:tc>
        <w:tc>
          <w:p>
            <w:pPr>
              <w:pStyle w:val="Compact"/>
              <w:jc w:val="right"/>
            </w:pPr>
            <w:r>
              <w:t xml:space="preserve">0.2</w:t>
            </w:r>
          </w:p>
        </w:tc>
        <w:tc>
          <w:p>
            <w:pPr>
              <w:pStyle w:val="Compact"/>
              <w:jc w:val="right"/>
            </w:pPr>
            <w:r>
              <w:t xml:space="preserve">16.6</w:t>
            </w:r>
          </w:p>
        </w:tc>
      </w:tr>
      <w:tr>
        <w:tc>
          <w:p>
            <w:pPr>
              <w:pStyle w:val="Compact"/>
              <w:jc w:val="right"/>
            </w:pPr>
            <w:r>
              <w:t xml:space="preserve">21</w:t>
            </w:r>
          </w:p>
        </w:tc>
        <w:tc>
          <w:p>
            <w:pPr>
              <w:pStyle w:val="Compact"/>
              <w:jc w:val="right"/>
            </w:pPr>
            <w:r>
              <w:t xml:space="preserve">37.784</w:t>
            </w:r>
          </w:p>
        </w:tc>
        <w:tc>
          <w:p>
            <w:pPr>
              <w:pStyle w:val="Compact"/>
              <w:jc w:val="right"/>
            </w:pPr>
            <w:r>
              <w:t xml:space="preserve">-122.351</w:t>
            </w:r>
          </w:p>
        </w:tc>
        <w:tc>
          <w:p>
            <w:pPr>
              <w:pStyle w:val="Compact"/>
              <w:jc w:val="right"/>
            </w:pPr>
            <w:r>
              <w:t xml:space="preserve">576</w:t>
            </w:r>
          </w:p>
        </w:tc>
        <w:tc>
          <w:p>
            <w:pPr>
              <w:pStyle w:val="Compact"/>
              <w:jc w:val="right"/>
            </w:pPr>
            <w:r>
              <w:t xml:space="preserve">4.4</w:t>
            </w:r>
          </w:p>
        </w:tc>
        <w:tc>
          <w:p>
            <w:pPr>
              <w:pStyle w:val="Compact"/>
              <w:jc w:val="right"/>
            </w:pPr>
            <w:r>
              <w:t xml:space="preserve">0.6</w:t>
            </w:r>
          </w:p>
        </w:tc>
        <w:tc>
          <w:p>
            <w:pPr>
              <w:pStyle w:val="Compact"/>
              <w:jc w:val="right"/>
            </w:pPr>
            <w:r>
              <w:t xml:space="preserve">40.0</w:t>
            </w:r>
          </w:p>
        </w:tc>
      </w:tr>
      <w:tr>
        <w:tc>
          <w:p>
            <w:pPr>
              <w:pStyle w:val="Compact"/>
              <w:jc w:val="right"/>
            </w:pPr>
            <w:r>
              <w:t xml:space="preserve">22</w:t>
            </w:r>
          </w:p>
        </w:tc>
        <w:tc>
          <w:p>
            <w:pPr>
              <w:pStyle w:val="Compact"/>
              <w:jc w:val="right"/>
            </w:pPr>
            <w:r>
              <w:t xml:space="preserve">37.752</w:t>
            </w:r>
          </w:p>
        </w:tc>
        <w:tc>
          <w:p>
            <w:pPr>
              <w:pStyle w:val="Compact"/>
              <w:jc w:val="right"/>
            </w:pPr>
            <w:r>
              <w:t xml:space="preserve">-122.351</w:t>
            </w:r>
          </w:p>
        </w:tc>
        <w:tc>
          <w:p>
            <w:pPr>
              <w:pStyle w:val="Compact"/>
              <w:jc w:val="right"/>
            </w:pPr>
            <w:r>
              <w:t xml:space="preserve">569</w:t>
            </w:r>
          </w:p>
        </w:tc>
        <w:tc>
          <w:p>
            <w:pPr>
              <w:pStyle w:val="Compact"/>
              <w:jc w:val="right"/>
            </w:pPr>
            <w:r>
              <w:t xml:space="preserve">4.0</w:t>
            </w:r>
          </w:p>
        </w:tc>
        <w:tc>
          <w:p>
            <w:pPr>
              <w:pStyle w:val="Compact"/>
              <w:jc w:val="right"/>
            </w:pPr>
            <w:r>
              <w:t xml:space="preserve">0.7</w:t>
            </w:r>
          </w:p>
        </w:tc>
        <w:tc>
          <w:p>
            <w:pPr>
              <w:pStyle w:val="Compact"/>
              <w:jc w:val="right"/>
            </w:pPr>
            <w:r>
              <w:t xml:space="preserve">53.1</w:t>
            </w:r>
          </w:p>
        </w:tc>
      </w:tr>
      <w:tr>
        <w:tc>
          <w:p>
            <w:pPr>
              <w:pStyle w:val="Compact"/>
              <w:jc w:val="right"/>
            </w:pPr>
            <w:r>
              <w:t xml:space="preserve">24</w:t>
            </w:r>
          </w:p>
        </w:tc>
        <w:tc>
          <w:p>
            <w:pPr>
              <w:pStyle w:val="Compact"/>
              <w:jc w:val="right"/>
            </w:pPr>
            <w:r>
              <w:t xml:space="preserve">37.686</w:t>
            </w:r>
          </w:p>
        </w:tc>
        <w:tc>
          <w:p>
            <w:pPr>
              <w:pStyle w:val="Compact"/>
              <w:jc w:val="right"/>
            </w:pPr>
            <w:r>
              <w:t xml:space="preserve">-122.334</w:t>
            </w:r>
          </w:p>
        </w:tc>
        <w:tc>
          <w:p>
            <w:pPr>
              <w:pStyle w:val="Compact"/>
              <w:jc w:val="right"/>
            </w:pPr>
            <w:r>
              <w:t xml:space="preserve">595</w:t>
            </w:r>
          </w:p>
        </w:tc>
        <w:tc>
          <w:p>
            <w:pPr>
              <w:pStyle w:val="Compact"/>
              <w:jc w:val="right"/>
            </w:pPr>
            <w:r>
              <w:t xml:space="preserve">4.2</w:t>
            </w:r>
          </w:p>
        </w:tc>
        <w:tc>
          <w:p>
            <w:pPr>
              <w:pStyle w:val="Compact"/>
              <w:jc w:val="right"/>
            </w:pPr>
            <w:r>
              <w:t xml:space="preserve">0.7</w:t>
            </w:r>
          </w:p>
        </w:tc>
        <w:tc>
          <w:p>
            <w:pPr>
              <w:pStyle w:val="Compact"/>
              <w:jc w:val="right"/>
            </w:pPr>
            <w:r>
              <w:t xml:space="preserve">47.3</w:t>
            </w:r>
          </w:p>
        </w:tc>
      </w:tr>
      <w:tr>
        <w:tc>
          <w:p>
            <w:pPr>
              <w:pStyle w:val="Compact"/>
              <w:jc w:val="right"/>
            </w:pPr>
            <w:r>
              <w:t xml:space="preserve">27</w:t>
            </w:r>
          </w:p>
        </w:tc>
        <w:tc>
          <w:p>
            <w:pPr>
              <w:pStyle w:val="Compact"/>
              <w:jc w:val="right"/>
            </w:pPr>
            <w:r>
              <w:t xml:space="preserve">37.617</w:t>
            </w:r>
          </w:p>
        </w:tc>
        <w:tc>
          <w:p>
            <w:pPr>
              <w:pStyle w:val="Compact"/>
              <w:jc w:val="right"/>
            </w:pPr>
            <w:r>
              <w:t xml:space="preserve">-122.285</w:t>
            </w:r>
          </w:p>
        </w:tc>
        <w:tc>
          <w:p>
            <w:pPr>
              <w:pStyle w:val="Compact"/>
              <w:jc w:val="right"/>
            </w:pPr>
            <w:r>
              <w:t xml:space="preserve">596</w:t>
            </w:r>
          </w:p>
        </w:tc>
        <w:tc>
          <w:p>
            <w:pPr>
              <w:pStyle w:val="Compact"/>
              <w:jc w:val="right"/>
            </w:pPr>
            <w:r>
              <w:t xml:space="preserve">4.5</w:t>
            </w:r>
          </w:p>
        </w:tc>
        <w:tc>
          <w:p>
            <w:pPr>
              <w:pStyle w:val="Compact"/>
              <w:jc w:val="right"/>
            </w:pPr>
            <w:r>
              <w:t xml:space="preserve">0.5</w:t>
            </w:r>
          </w:p>
        </w:tc>
        <w:tc>
          <w:p>
            <w:pPr>
              <w:pStyle w:val="Compact"/>
              <w:jc w:val="right"/>
            </w:pPr>
            <w:r>
              <w:t xml:space="preserve">50.9</w:t>
            </w:r>
          </w:p>
        </w:tc>
      </w:tr>
      <w:tr>
        <w:tc>
          <w:p>
            <w:pPr>
              <w:pStyle w:val="Compact"/>
              <w:jc w:val="right"/>
            </w:pPr>
            <w:r>
              <w:t xml:space="preserve">30</w:t>
            </w:r>
          </w:p>
        </w:tc>
        <w:tc>
          <w:p>
            <w:pPr>
              <w:pStyle w:val="Compact"/>
              <w:jc w:val="right"/>
            </w:pPr>
            <w:r>
              <w:t xml:space="preserve">37.551</w:t>
            </w:r>
          </w:p>
        </w:tc>
        <w:tc>
          <w:p>
            <w:pPr>
              <w:pStyle w:val="Compact"/>
              <w:jc w:val="right"/>
            </w:pPr>
            <w:r>
              <w:t xml:space="preserve">-122.184</w:t>
            </w:r>
          </w:p>
        </w:tc>
        <w:tc>
          <w:p>
            <w:pPr>
              <w:pStyle w:val="Compact"/>
              <w:jc w:val="right"/>
            </w:pPr>
            <w:r>
              <w:t xml:space="preserve">608</w:t>
            </w:r>
          </w:p>
        </w:tc>
        <w:tc>
          <w:p>
            <w:pPr>
              <w:pStyle w:val="Compact"/>
              <w:jc w:val="right"/>
            </w:pPr>
            <w:r>
              <w:t xml:space="preserve">5.1</w:t>
            </w:r>
          </w:p>
        </w:tc>
        <w:tc>
          <w:p>
            <w:pPr>
              <w:pStyle w:val="Compact"/>
              <w:jc w:val="right"/>
            </w:pPr>
            <w:r>
              <w:t xml:space="preserve">0.8</w:t>
            </w:r>
          </w:p>
        </w:tc>
        <w:tc>
          <w:p>
            <w:pPr>
              <w:pStyle w:val="Compact"/>
              <w:jc w:val="right"/>
            </w:pPr>
            <w:r>
              <w:t xml:space="preserve">112.2</w:t>
            </w:r>
          </w:p>
        </w:tc>
      </w:tr>
      <w:tr>
        <w:tc>
          <w:p>
            <w:pPr>
              <w:pStyle w:val="Compact"/>
              <w:jc w:val="right"/>
            </w:pPr>
            <w:r>
              <w:t xml:space="preserve">32</w:t>
            </w:r>
          </w:p>
        </w:tc>
        <w:tc>
          <w:p>
            <w:pPr>
              <w:pStyle w:val="Compact"/>
              <w:jc w:val="right"/>
            </w:pPr>
            <w:r>
              <w:t xml:space="preserve">37.517</w:t>
            </w:r>
          </w:p>
        </w:tc>
        <w:tc>
          <w:p>
            <w:pPr>
              <w:pStyle w:val="Compact"/>
              <w:jc w:val="right"/>
            </w:pPr>
            <w:r>
              <w:t xml:space="preserve">-122.133</w:t>
            </w:r>
          </w:p>
        </w:tc>
        <w:tc>
          <w:p>
            <w:pPr>
              <w:pStyle w:val="Compact"/>
              <w:jc w:val="right"/>
            </w:pPr>
            <w:r>
              <w:t xml:space="preserve">591</w:t>
            </w:r>
          </w:p>
        </w:tc>
        <w:tc>
          <w:p>
            <w:pPr>
              <w:pStyle w:val="Compact"/>
              <w:jc w:val="right"/>
            </w:pPr>
            <w:r>
              <w:t xml:space="preserve">5.9</w:t>
            </w:r>
          </w:p>
        </w:tc>
        <w:tc>
          <w:p>
            <w:pPr>
              <w:pStyle w:val="Compact"/>
              <w:jc w:val="right"/>
            </w:pPr>
            <w:r>
              <w:t xml:space="preserve">0.7</w:t>
            </w:r>
          </w:p>
        </w:tc>
        <w:tc>
          <w:p>
            <w:pPr>
              <w:pStyle w:val="Compact"/>
              <w:jc w:val="right"/>
            </w:pPr>
            <w:r>
              <w:t xml:space="preserve">282.1</w:t>
            </w:r>
          </w:p>
        </w:tc>
      </w:tr>
      <w:tr>
        <w:tc>
          <w:p>
            <w:pPr>
              <w:pStyle w:val="Compact"/>
              <w:jc w:val="right"/>
            </w:pPr>
            <w:r>
              <w:t xml:space="preserve">34</w:t>
            </w:r>
          </w:p>
        </w:tc>
        <w:tc>
          <w:p>
            <w:pPr>
              <w:pStyle w:val="Compact"/>
              <w:jc w:val="right"/>
            </w:pPr>
            <w:r>
              <w:t xml:space="preserve">37.485</w:t>
            </w:r>
          </w:p>
        </w:tc>
        <w:tc>
          <w:p>
            <w:pPr>
              <w:pStyle w:val="Compact"/>
              <w:jc w:val="right"/>
            </w:pPr>
            <w:r>
              <w:t xml:space="preserve">-122.086</w:t>
            </w:r>
          </w:p>
        </w:tc>
        <w:tc>
          <w:p>
            <w:pPr>
              <w:pStyle w:val="Compact"/>
              <w:jc w:val="right"/>
            </w:pPr>
            <w:r>
              <w:t xml:space="preserve">544</w:t>
            </w:r>
          </w:p>
        </w:tc>
        <w:tc>
          <w:p>
            <w:pPr>
              <w:pStyle w:val="Compact"/>
              <w:jc w:val="right"/>
            </w:pPr>
            <w:r>
              <w:t xml:space="preserve">6.5</w:t>
            </w:r>
          </w:p>
        </w:tc>
        <w:tc>
          <w:p>
            <w:pPr>
              <w:pStyle w:val="Compact"/>
              <w:jc w:val="right"/>
            </w:pPr>
            <w:r>
              <w:t xml:space="preserve">0.6</w:t>
            </w:r>
          </w:p>
        </w:tc>
        <w:tc>
          <w:p>
            <w:pPr>
              <w:pStyle w:val="Compact"/>
              <w:jc w:val="right"/>
            </w:pPr>
            <w:r>
              <w:t xml:space="preserve">158.3</w:t>
            </w:r>
          </w:p>
        </w:tc>
      </w:tr>
      <w:tr>
        <w:tc>
          <w:p>
            <w:pPr>
              <w:pStyle w:val="Compact"/>
              <w:jc w:val="right"/>
            </w:pPr>
            <w:r>
              <w:t xml:space="preserve">36</w:t>
            </w:r>
          </w:p>
        </w:tc>
        <w:tc>
          <w:p>
            <w:pPr>
              <w:pStyle w:val="Compact"/>
              <w:jc w:val="right"/>
            </w:pPr>
            <w:r>
              <w:t xml:space="preserve">37.468</w:t>
            </w:r>
          </w:p>
        </w:tc>
        <w:tc>
          <w:p>
            <w:pPr>
              <w:pStyle w:val="Compact"/>
              <w:jc w:val="right"/>
            </w:pPr>
            <w:r>
              <w:t xml:space="preserve">-122.067</w:t>
            </w:r>
          </w:p>
        </w:tc>
        <w:tc>
          <w:p>
            <w:pPr>
              <w:pStyle w:val="Compact"/>
              <w:jc w:val="right"/>
            </w:pPr>
            <w:r>
              <w:t xml:space="preserve">476</w:t>
            </w:r>
          </w:p>
        </w:tc>
        <w:tc>
          <w:p>
            <w:pPr>
              <w:pStyle w:val="Compact"/>
              <w:jc w:val="right"/>
            </w:pPr>
            <w:r>
              <w:t xml:space="preserve">6.2</w:t>
            </w:r>
          </w:p>
        </w:tc>
        <w:tc>
          <w:p>
            <w:pPr>
              <w:pStyle w:val="Compact"/>
              <w:jc w:val="right"/>
            </w:pPr>
            <w:r>
              <w:t xml:space="preserve">1.1</w:t>
            </w:r>
          </w:p>
        </w:tc>
        <w:tc>
          <w:p>
            <w:pPr>
              <w:pStyle w:val="Compact"/>
              <w:jc w:val="right"/>
            </w:pPr>
            <w:r>
              <w:t xml:space="preserve">328.4</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05"/>
        <w:gridCol w:w="1965"/>
        <w:gridCol w:w="5749"/>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f_1(cont_year)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eta_0cont_year + f_1(cont_year)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eta_0cont_year + f_1(cont_year) + f_2(doy)</w:t>
            </w:r>
          </w:p>
        </w:tc>
        <w:tc>
          <w:p>
            <w:pPr>
              <w:pStyle w:val="Compact"/>
              <w:jc w:val="left"/>
            </w:pPr>
            <w:r>
              <w:t xml:space="preserve">A linear continuous year variable, a smoother over a continuous year variable, and a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eta_0cont_year + f_1(cont_year) + f_2(doy) + f_3(cont_year, doy)</w:t>
            </w:r>
          </w:p>
        </w:tc>
        <w:tc>
          <w:p>
            <w:pPr>
              <w:pStyle w:val="Compact"/>
              <w:jc w:val="left"/>
            </w:pPr>
            <w:r>
              <w:t xml:space="preserve">A linear continuous year variable, a smoother over a continuous year variable, a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AIC</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-135.66</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-123.57</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Akaike Information Criterion scores (AIC), generalized cross-validation scores (GCV), and r-squared values.</w:t>
      </w:r>
    </w:p>
    <w:tbl>
      <w:tblPr>
        <w:tblStyle w:val="Table"/>
        <w:tblW w:type="pct" w:w="0.0"/>
        <w:tblLook w:firstRow="1"/>
        <w:tblCaption w:val="Model performance statistics for each station as Akaike Information Criterion scores (AIC),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AIC</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-430.94</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-305.93</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-160.07</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-250.77</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-188.72</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-172.79</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-138.20</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-3.17</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-22.05</w:t>
            </w:r>
          </w:p>
        </w:tc>
        <w:tc>
          <w:p>
            <w:pPr>
              <w:pStyle w:val="Compact"/>
              <w:jc w:val="right"/>
            </w:pPr>
            <w:r>
              <w:t xml:space="preserve">0.07</w:t>
            </w:r>
          </w:p>
        </w:tc>
        <w:tc>
          <w:p>
            <w:pPr>
              <w:pStyle w:val="Compact"/>
              <w:jc w:val="right"/>
            </w:pPr>
            <w:r>
              <w:t xml:space="preserve">0.73</w:t>
            </w:r>
          </w:p>
        </w:tc>
      </w:tr>
    </w:tbl>
    <w:p>
      <w:pPr>
        <w:pStyle w:val="Heading1"/>
      </w:pPr>
      <w:bookmarkStart w:id="55" w:name="references"/>
      <w:r>
        <w:t xml:space="preserve">References</w:t>
      </w:r>
      <w:bookmarkEnd w:id="55"/>
    </w:p>
    <w:bookmarkStart w:id="129" w:name="refs"/>
    <w:bookmarkStart w:id="56" w:name="ref-Alpine88"/>
    <w:p>
      <w:pPr>
        <w:pStyle w:val="Bibliography"/>
      </w:pPr>
      <w:r>
        <w:t xml:space="preserve">Alpine, A.E., Cloern, J.E., 1988. Phytoplankton growth rates in a light-limited environment, San Francisco Bay. Marine Ecology Progress Series 44, 167–173.</w:t>
      </w:r>
    </w:p>
    <w:bookmarkEnd w:id="56"/>
    <w:bookmarkStart w:id="57" w:name="ref-Beck21"/>
    <w:p>
      <w:pPr>
        <w:pStyle w:val="Bibliography"/>
      </w:pPr>
      <w:r>
        <w:t xml:space="preserve">Beck, M.W., de Valpine, P., Murpy, R., Wren, I., Chelsky, A., Foley, M., Senn, D., 2021. tbep-tech/wqtrends: v1.1.0 (Version v1.1.0). Zenodo. http://doi.org/10.5281/zenodo.4509638.</w:t>
      </w:r>
    </w:p>
    <w:bookmarkEnd w:id="57"/>
    <w:bookmarkStart w:id="59" w:name="ref-Beck15"/>
    <w:p>
      <w:pPr>
        <w:pStyle w:val="Bibliography"/>
      </w:pPr>
      <w:r>
        <w:t xml:space="preserve">Beck, M.W., Hagy, J.D., III, 2015. Adaptation of a weighted regression approach to evaluate water quality trends in an estuary. Environmental Modelling and Assessment 20, 637–655.</w:t>
      </w:r>
      <w:r>
        <w:t xml:space="preserve"> </w:t>
      </w:r>
      <w:hyperlink r:id="rId58">
        <w:r>
          <w:rPr>
            <w:rStyle w:val="Hyperlink"/>
          </w:rPr>
          <w:t xml:space="preserve">https://doi.org/10.1007/s10666-015-9452-8</w:t>
        </w:r>
      </w:hyperlink>
    </w:p>
    <w:bookmarkEnd w:id="59"/>
    <w:bookmarkStart w:id="61" w:name="ref-Beck18b"/>
    <w:p>
      <w:pPr>
        <w:pStyle w:val="Bibliography"/>
      </w:pPr>
      <w:r>
        <w:t xml:space="preserve">Beck, M.W., Jabusch, T.W., Trowbridge, P.R., Senn, D.B., 2018. Four decades of water quality change in the upper San Francisco Estuary. Estuarine, Coastal and Shelf Science 212, 11–22.</w:t>
      </w:r>
      <w:r>
        <w:t xml:space="preserve"> </w:t>
      </w:r>
      <w:hyperlink r:id="rId60">
        <w:r>
          <w:rPr>
            <w:rStyle w:val="Hyperlink"/>
          </w:rPr>
          <w:t xml:space="preserve">https://doi.org/10.1016/j.ecss.2018.06.021</w:t>
        </w:r>
      </w:hyperlink>
    </w:p>
    <w:bookmarkEnd w:id="61"/>
    <w:bookmarkStart w:id="63" w:name="ref-Beck17"/>
    <w:p>
      <w:pPr>
        <w:pStyle w:val="Bibliography"/>
      </w:pPr>
      <w:r>
        <w:t xml:space="preserve">Beck, M.W., Murphy, R.R., 2017. Numerical and qualitative contrasts of two statistical models for water quality change in tidal waters. Journal of the American Water Resources Association 53, 197–219.</w:t>
      </w:r>
      <w:r>
        <w:t xml:space="preserve"> </w:t>
      </w:r>
      <w:hyperlink r:id="rId62">
        <w:r>
          <w:rPr>
            <w:rStyle w:val="Hyperlink"/>
          </w:rPr>
          <w:t xml:space="preserve">https://doi.org/10.1111/1752-1688.12489</w:t>
        </w:r>
      </w:hyperlink>
    </w:p>
    <w:bookmarkEnd w:id="63"/>
    <w:bookmarkStart w:id="64" w:name="ref-Cleveland90"/>
    <w:p>
      <w:pPr>
        <w:pStyle w:val="Bibliography"/>
      </w:pPr>
      <w:r>
        <w:t xml:space="preserve">Cleveland, R.B., Cleveland, W.S., McRae, J.E., Terpenning, I., 1990. STL: A seasonal-trend decomposition procedure based on Loess. Journal of Official Statistics 6, 3–73.</w:t>
      </w:r>
    </w:p>
    <w:bookmarkEnd w:id="64"/>
    <w:bookmarkStart w:id="66" w:name="ref-Cloern12"/>
    <w:p>
      <w:pPr>
        <w:pStyle w:val="Bibliography"/>
      </w:pPr>
      <w:r>
        <w:t xml:space="preserve">Cloern, J.E., Jassby, A.D., 2012. Drivers of change in estuarine-coastal ecosystems: Discoveries from four decades of study in San Francisco Bay. Reviews of Geophysics 50.</w:t>
      </w:r>
      <w:r>
        <w:t xml:space="preserve"> </w:t>
      </w:r>
      <w:hyperlink r:id="rId65">
        <w:r>
          <w:rPr>
            <w:rStyle w:val="Hyperlink"/>
          </w:rPr>
          <w:t xml:space="preserve">https://doi.org/10.1029/2012RG000397</w:t>
        </w:r>
      </w:hyperlink>
    </w:p>
    <w:bookmarkEnd w:id="66"/>
    <w:bookmarkStart w:id="67" w:name="ref-Cloern10"/>
    <w:p>
      <w:pPr>
        <w:pStyle w:val="Bibliography"/>
      </w:pPr>
      <w:r>
        <w:t xml:space="preserve">Cloern, J.E., Jassby, A.D., 2010. Patterns and scales of phytoplankton variability in estuarine-coastal ecosystems. Estuaries and Coasts 33, 230–241.</w:t>
      </w:r>
    </w:p>
    <w:bookmarkEnd w:id="67"/>
    <w:bookmarkStart w:id="68" w:name="ref-Cloern07"/>
    <w:p>
      <w:pPr>
        <w:pStyle w:val="Bibliography"/>
      </w:pPr>
      <w:r>
        <w:t xml:space="preserve">Cloern, J.E., Jassby, A.D., Thompson, J.K., Hieb, K.A., 2007. A cold phase of the East Pacific triggers new phytoplankton blooms in San Francisco Bay. Proceedings of the National Academy of Sciences of the United States of America 104, 18561–18565.</w:t>
      </w:r>
    </w:p>
    <w:bookmarkEnd w:id="68"/>
    <w:bookmarkStart w:id="69" w:name="ref-Cloern16"/>
    <w:p>
      <w:pPr>
        <w:pStyle w:val="Bibliography"/>
      </w:pPr>
      <w:r>
        <w:t xml:space="preserve">Cloern, J.E., Schraga, T.S., 2016. USGS measurements of water quality in San Francisco Bay (CA), 1969-2015: U.S. Geological Survey data release. https://doi.org/10.5066/F7TQ5ZPR.</w:t>
      </w:r>
    </w:p>
    <w:bookmarkEnd w:id="69"/>
    <w:bookmarkStart w:id="71" w:name="ref-Cloern20"/>
    <w:p>
      <w:pPr>
        <w:pStyle w:val="Bibliography"/>
      </w:pPr>
      <w:r>
        <w:t xml:space="preserve">Cloern, J.E., Shcraga, T.S., Nejad, E., Martin, C., 2020. Nutrient status of San Francisco Bay and its management implications. Estuaries &amp; Coasts 43, 1299–1317.</w:t>
      </w:r>
      <w:r>
        <w:t xml:space="preserve"> </w:t>
      </w:r>
      <w:hyperlink r:id="rId70">
        <w:r>
          <w:rPr>
            <w:rStyle w:val="Hyperlink"/>
          </w:rPr>
          <w:t xml:space="preserve">https://doi.org/10.1007/s12237-020-00737-w</w:t>
        </w:r>
      </w:hyperlink>
    </w:p>
    <w:bookmarkEnd w:id="71"/>
    <w:bookmarkStart w:id="72" w:name="ref-Cole84"/>
    <w:p>
      <w:pPr>
        <w:pStyle w:val="Bibliography"/>
      </w:pPr>
      <w:r>
        <w:t xml:space="preserve">Cole, B.E., Cloern, J.E., 1984. Significance of biomass and light availability to phytoplankton productivity in San Francisco Bay. Marine Ecology Progress Series 17, 15–24.</w:t>
      </w:r>
    </w:p>
    <w:bookmarkEnd w:id="72"/>
    <w:bookmarkStart w:id="73" w:name="ref-Cumming06"/>
    <w:p>
      <w:pPr>
        <w:pStyle w:val="Bibliography"/>
      </w:pPr>
      <w:r>
        <w:t xml:space="preserve">Cumming, G.S., Cumming, D.H.M., Redman, C.L., 2006. Scale mismatches in social-ecological systems: Causes, consequences, and solutions. Ecology and Society 11, 14.</w:t>
      </w:r>
    </w:p>
    <w:bookmarkEnd w:id="73"/>
    <w:bookmarkStart w:id="75" w:name="ref-Forbes18"/>
    <w:p>
      <w:pPr>
        <w:pStyle w:val="Bibliography"/>
      </w:pPr>
      <w:r>
        <w:t xml:space="preserve">Forbes, D.J., Xie, Z., 2018. Identifying process scales in the Indian River Lagoon, Florida using wavelet transform analysis of dissolved oxygen. Ecological Complexity 36, 149–167.</w:t>
      </w:r>
      <w:r>
        <w:t xml:space="preserve"> </w:t>
      </w:r>
      <w:hyperlink r:id="rId74">
        <w:r>
          <w:rPr>
            <w:rStyle w:val="Hyperlink"/>
          </w:rPr>
          <w:t xml:space="preserve">https://doi.org/10.1016/j.ecocom.2018.07.005</w:t>
        </w:r>
      </w:hyperlink>
    </w:p>
    <w:bookmarkEnd w:id="75"/>
    <w:bookmarkStart w:id="77" w:name="ref-Gasparrini12"/>
    <w:p>
      <w:pPr>
        <w:pStyle w:val="Bibliography"/>
      </w:pPr>
      <w:r>
        <w:t xml:space="preserve">Gasparrini, A., Armstrong, B., Kenward, M.G., 2012. Multivariate meta-analysis for non-linear and other multi-parameter associations. Statistics in Medicine 31, 3821–3839.</w:t>
      </w:r>
      <w:r>
        <w:t xml:space="preserve"> </w:t>
      </w:r>
      <w:hyperlink r:id="rId76">
        <w:r>
          <w:rPr>
            <w:rStyle w:val="Hyperlink"/>
          </w:rPr>
          <w:t xml:space="preserve">https://doi.org/10.1002/sim.5471</w:t>
        </w:r>
      </w:hyperlink>
    </w:p>
    <w:bookmarkEnd w:id="77"/>
    <w:bookmarkStart w:id="78" w:name="ref-Hafen10"/>
    <w:p>
      <w:pPr>
        <w:pStyle w:val="Bibliography"/>
      </w:pPr>
      <w:r>
        <w:t xml:space="preserve">Hafen, R.P., 2010. Local regression models: Advancements, applications, and new methods (PhD thesis). Purdue University, West Lafayette, Indiana.</w:t>
      </w:r>
    </w:p>
    <w:bookmarkEnd w:id="78"/>
    <w:bookmarkStart w:id="79" w:name="ref-Haraguchi15"/>
    <w:p>
      <w:pPr>
        <w:pStyle w:val="Bibliography"/>
      </w:pPr>
      <w:r>
        <w:t xml:space="preserve">Haraguchi, L., Carstensen, J., Abreu, P.C., Odebrecht, C., 2015. Long-term changes of the phytoplankton community and biomass in the subtropical shallow Patos Lagoon Estuary, Brazil. Estuarine, Coastal and Shelf Science 162, 76–87.</w:t>
      </w:r>
    </w:p>
    <w:bookmarkEnd w:id="79"/>
    <w:bookmarkStart w:id="81" w:name="ref-He06"/>
    <w:p>
      <w:pPr>
        <w:pStyle w:val="Bibliography"/>
      </w:pPr>
      <w:r>
        <w:t xml:space="preserve">He, S., Mazumdar, S., Arena, V.C., 2006. A comparative study of the use of GAM and GLM in air pollution research. Environmetrics 17, 81–93.</w:t>
      </w:r>
      <w:r>
        <w:t xml:space="preserve"> </w:t>
      </w:r>
      <w:hyperlink r:id="rId80">
        <w:r>
          <w:rPr>
            <w:rStyle w:val="Hyperlink"/>
          </w:rPr>
          <w:t xml:space="preserve">https://doi.org/10.1002/env.751</w:t>
        </w:r>
      </w:hyperlink>
    </w:p>
    <w:bookmarkEnd w:id="81"/>
    <w:bookmarkStart w:id="82" w:name="ref-Helsel20"/>
    <w:p>
      <w:pPr>
        <w:pStyle w:val="Bibliography"/>
      </w:pPr>
      <w:r>
        <w:t xml:space="preserve">Helsel, D.R., Hirsch, R.M., Ryberg, K.R., Archfield, S.A., Gilroy, E.J., 2020. Statistical methods in water resources, 2nd ed. U.S. Geological Survey Techniques; Methods, book 4, chapter A3, version 1.1, Reston, Virginia.</w:t>
      </w:r>
    </w:p>
    <w:bookmarkEnd w:id="82"/>
    <w:bookmarkStart w:id="84" w:name="ref-Hirsch15"/>
    <w:p>
      <w:pPr>
        <w:pStyle w:val="Bibliography"/>
      </w:pPr>
      <w:r>
        <w:t xml:space="preserve">Hirsch, R.M., Archfield, S.A., De Cicco, L.A., 2015. A bootstrap method for estimating uncertainty of water quality trends. Environmental Modelling and Software 73, 148–166.</w:t>
      </w:r>
      <w:r>
        <w:t xml:space="preserve"> </w:t>
      </w:r>
      <w:hyperlink r:id="rId83">
        <w:r>
          <w:rPr>
            <w:rStyle w:val="Hyperlink"/>
          </w:rPr>
          <w:t xml:space="preserve">https://doi.org/10.1016/j.envsoft.2015.07.017</w:t>
        </w:r>
      </w:hyperlink>
    </w:p>
    <w:bookmarkEnd w:id="84"/>
    <w:bookmarkStart w:id="85" w:name="ref-Hirsch10"/>
    <w:p>
      <w:pPr>
        <w:pStyle w:val="Bibliography"/>
      </w:pPr>
      <w:r>
        <w:t xml:space="preserve">Hirsch, R.M., Moyer, D.L., Archfield, S.A., 2010. Weighted regressions on time, discharge, and season (WRTDS), with an application to Chesapeake Bay river inputs. Journal of the American Water Resources Association 46, 857–880.</w:t>
      </w:r>
    </w:p>
    <w:bookmarkEnd w:id="85"/>
    <w:bookmarkStart w:id="86" w:name="ref-Hirsch82"/>
    <w:p>
      <w:pPr>
        <w:pStyle w:val="Bibliography"/>
      </w:pPr>
      <w:r>
        <w:t xml:space="preserve">Hirsch, R.M., Slack, J.R., Smith, R.A., 1982. Techniques of trend analysis for monthly water quality data. Water Resources Research 18, 107–121.</w:t>
      </w:r>
    </w:p>
    <w:bookmarkEnd w:id="86"/>
    <w:bookmarkStart w:id="87" w:name="ref-Jassby08"/>
    <w:p>
      <w:pPr>
        <w:pStyle w:val="Bibliography"/>
      </w:pPr>
      <w:r>
        <w:t xml:space="preserve">Jassby, A.D., 2008. Phytoplankton in the Upper San Francisco Estuary: Recent biomass trends, their causes, and their trophic significance. San Francisco Estuary and Watershed Science 6, 1–24.</w:t>
      </w:r>
    </w:p>
    <w:bookmarkEnd w:id="87"/>
    <w:bookmarkStart w:id="88" w:name="ref-Jassby02"/>
    <w:p>
      <w:pPr>
        <w:pStyle w:val="Bibliography"/>
      </w:pPr>
      <w:r>
        <w:t xml:space="preserve">Jassby, A.D., Cloern, J.E., Cole, B.E., 2002. Annual primary production: Patterns and mechanisms of change in a nutrient-rich tidal ecosystem. Limnology and Oceanography 47, 698–712.</w:t>
      </w:r>
    </w:p>
    <w:bookmarkEnd w:id="88"/>
    <w:bookmarkStart w:id="90" w:name="ref-Junninen04"/>
    <w:p>
      <w:pPr>
        <w:pStyle w:val="Bibliography"/>
      </w:pPr>
      <w:r>
        <w:t xml:space="preserve">Junninen, H., Niska, H., Tuppurainen, K., Ruuskanen, J., Kolehmainen, M., 2004. Methods for imputation of missing values in air quality data sets. Atmospheric Environment 38, 2895–2907.</w:t>
      </w:r>
      <w:r>
        <w:t xml:space="preserve"> </w:t>
      </w:r>
      <w:hyperlink r:id="rId89">
        <w:r>
          <w:rPr>
            <w:rStyle w:val="Hyperlink"/>
          </w:rPr>
          <w:t xml:space="preserve">https://doi.org/10.1016/j.atmosenv.2004.02.026</w:t>
        </w:r>
      </w:hyperlink>
    </w:p>
    <w:bookmarkEnd w:id="90"/>
    <w:bookmarkStart w:id="91" w:name="ref-Kimmerer14"/>
    <w:p>
      <w:pPr>
        <w:pStyle w:val="Bibliography"/>
      </w:pPr>
      <w:r>
        <w:t xml:space="preserve">Kimmerer, W.J., Thompson, J.K., 2014. Phytoplankton growth balanced by clam and zooplankton grazing and net transport into the low-salinity zone of the San Francisco Estuary. Estuaries and Coasts 37, 1202–1218.</w:t>
      </w:r>
    </w:p>
    <w:bookmarkEnd w:id="91"/>
    <w:bookmarkStart w:id="93" w:name="ref-Lefcheck17"/>
    <w:p>
      <w:pPr>
        <w:pStyle w:val="Bibliography"/>
      </w:pPr>
      <w:r>
        <w:t xml:space="preserve">Lefcheck, J.S., Wilcox, D.J., Murphy, R.R., Marion, S.R., Orth, R.J., 2017. Multiple stressors threaten the imperiled coastal foundation species eelgrass (</w:t>
      </w:r>
      <w:r>
        <w:rPr>
          <w:i/>
        </w:rPr>
        <w:t xml:space="preserve">zostera marina</w:t>
      </w:r>
      <w:r>
        <w:t xml:space="preserve">) in Chesapeake Bay, USA. Global Change Biology 23, 3474–3483.</w:t>
      </w:r>
      <w:r>
        <w:t xml:space="preserve"> </w:t>
      </w:r>
      <w:hyperlink r:id="rId92">
        <w:r>
          <w:rPr>
            <w:rStyle w:val="Hyperlink"/>
          </w:rPr>
          <w:t xml:space="preserve">https://doi.org/10.1111/gcb.13623</w:t>
        </w:r>
      </w:hyperlink>
    </w:p>
    <w:bookmarkEnd w:id="93"/>
    <w:bookmarkStart w:id="95" w:name="ref-Lehman17"/>
    <w:p>
      <w:pPr>
        <w:pStyle w:val="Bibliography"/>
      </w:pPr>
      <w:r>
        <w:t xml:space="preserve">Lehman, P.W., Kurobe, T., Lesmeister, S., Baxa, D., Tung, A., Teh, S.J., 2017. Impacts of the 2014 severe drought on the Microcystis bloom in San Francisco Estuary. Harmful Algae 63, 94–108.</w:t>
      </w:r>
      <w:r>
        <w:t xml:space="preserve"> </w:t>
      </w:r>
      <w:hyperlink r:id="rId94">
        <w:r>
          <w:rPr>
            <w:rStyle w:val="Hyperlink"/>
          </w:rPr>
          <w:t xml:space="preserve">https://doi.org/10.1016/j.hal.2017.01.011</w:t>
        </w:r>
      </w:hyperlink>
    </w:p>
    <w:bookmarkEnd w:id="95"/>
    <w:bookmarkStart w:id="97" w:name="ref-Morton08"/>
    <w:p>
      <w:pPr>
        <w:pStyle w:val="Bibliography"/>
      </w:pPr>
      <w:r>
        <w:t xml:space="preserve">Morton, R., Henderson, B.L., 2008. Estimation of nonlinear trends in water quality: An improved approach using generalized additive models. Water Resources Research 44, W07420.</w:t>
      </w:r>
      <w:r>
        <w:t xml:space="preserve"> </w:t>
      </w:r>
      <w:hyperlink r:id="rId96">
        <w:r>
          <w:rPr>
            <w:rStyle w:val="Hyperlink"/>
          </w:rPr>
          <w:t xml:space="preserve">https://doi.org/10.1029/2007WR006191</w:t>
        </w:r>
      </w:hyperlink>
    </w:p>
    <w:bookmarkEnd w:id="97"/>
    <w:bookmarkStart w:id="99" w:name="ref-Murphy19"/>
    <w:p>
      <w:pPr>
        <w:pStyle w:val="Bibliography"/>
      </w:pPr>
      <w:r>
        <w:t xml:space="preserve">Murphy, R.R., Perry, E., Harcum, J., Keisman, J., 2019. A Generalized Additive Model Approach to evaluating water quality: Chesapeake Bay case study. Environmental Modelling &amp; Software 118, 1–13.</w:t>
      </w:r>
      <w:r>
        <w:t xml:space="preserve"> </w:t>
      </w:r>
      <w:hyperlink r:id="rId98">
        <w:r>
          <w:rPr>
            <w:rStyle w:val="Hyperlink"/>
          </w:rPr>
          <w:t xml:space="preserve">https://doi.org/10.1016/j.envsoft.2019.03.027</w:t>
        </w:r>
      </w:hyperlink>
    </w:p>
    <w:bookmarkEnd w:id="99"/>
    <w:bookmarkStart w:id="101" w:name="ref-Navarro12"/>
    <w:p>
      <w:pPr>
        <w:pStyle w:val="Bibliography"/>
      </w:pPr>
      <w:r>
        <w:t xml:space="preserve">Navarro, G., Caballero, I., Prieto, L., Vázquez, A., Flecha, S., Huertas, I.E., Ruiz, J., 2012. Seasonal-to-interannual variability of chlorophyll-</w:t>
      </w:r>
      <w:r>
        <w:rPr>
          <w:i/>
        </w:rPr>
        <w:t xml:space="preserve">a</w:t>
      </w:r>
      <w:r>
        <w:t xml:space="preserve"> </w:t>
      </w:r>
      <w:r>
        <w:t xml:space="preserve">bloom timing associated with physical forcing in the Gulf of Cádiz. Advances in Space Research 50, 1164–1172.</w:t>
      </w:r>
      <w:r>
        <w:t xml:space="preserve"> </w:t>
      </w:r>
      <w:hyperlink r:id="rId100">
        <w:r>
          <w:rPr>
            <w:rStyle w:val="Hyperlink"/>
          </w:rPr>
          <w:t xml:space="preserve">https://doi.org/10.1016/j.asr.2011.11.034</w:t>
        </w:r>
      </w:hyperlink>
    </w:p>
    <w:bookmarkEnd w:id="101"/>
    <w:bookmarkStart w:id="102" w:name="ref-Novick14"/>
    <w:p>
      <w:pPr>
        <w:pStyle w:val="Bibliography"/>
      </w:pPr>
      <w:r>
        <w:t xml:space="preserve">Novick, E., Senn, D., 2014. External nutrient loads to San Francisco Bay (No. Contribution Number 704). San Francisco Estuary Institute, Richmond, CA.</w:t>
      </w:r>
    </w:p>
    <w:bookmarkEnd w:id="102"/>
    <w:bookmarkStart w:id="104" w:name="ref-Pearce11"/>
    <w:p>
      <w:pPr>
        <w:pStyle w:val="Bibliography"/>
      </w:pPr>
      <w:r>
        <w:t xml:space="preserve">Pearce, J.L., Beringer, J., Nicholls, N., Hyndman, R.J., Tapper, N.J., 2011. Quantifying the influence of local meteorology on air quality using generalized additive models. Atmospheric Environment 45, 1328–1336.</w:t>
      </w:r>
      <w:r>
        <w:t xml:space="preserve"> </w:t>
      </w:r>
      <w:hyperlink r:id="rId103">
        <w:r>
          <w:rPr>
            <w:rStyle w:val="Hyperlink"/>
          </w:rPr>
          <w:t xml:space="preserve">https://doi.org/10.1016/j.atmosenv.2010.11.051</w:t>
        </w:r>
      </w:hyperlink>
    </w:p>
    <w:bookmarkEnd w:id="104"/>
    <w:bookmarkStart w:id="106" w:name="ref-Racault14"/>
    <w:p>
      <w:pPr>
        <w:pStyle w:val="Bibliography"/>
      </w:pPr>
      <w:r>
        <w:t xml:space="preserve">Racault, M.F., Sathyendranath, S., Platt, T., 2014. Impact of missing data on the estimation of ecological indicators from satellite ocean-colour time series. Remote Sensing of Environment 152, 15–28.</w:t>
      </w:r>
      <w:r>
        <w:t xml:space="preserve"> </w:t>
      </w:r>
      <w:hyperlink r:id="rId105">
        <w:r>
          <w:rPr>
            <w:rStyle w:val="Hyperlink"/>
          </w:rPr>
          <w:t xml:space="preserve">https://doi.org/10.1016/j.rse.2014.05.016</w:t>
        </w:r>
      </w:hyperlink>
    </w:p>
    <w:bookmarkEnd w:id="106"/>
    <w:bookmarkStart w:id="107" w:name="ref-RCT20"/>
    <w:p>
      <w:pPr>
        <w:pStyle w:val="Bibliography"/>
      </w:pPr>
      <w:r>
        <w:t xml:space="preserve">R Core Team, 2020. R: A language and environment for statistical computing. R Foundation for Statistical Computing, R v4.0.2, Vienna, Austria.</w:t>
      </w:r>
    </w:p>
    <w:bookmarkEnd w:id="107"/>
    <w:bookmarkStart w:id="108" w:name="ref-Schraga20"/>
    <w:p>
      <w:pPr>
        <w:pStyle w:val="Bibliography"/>
      </w:pPr>
      <w:r>
        <w:t xml:space="preserve">Schraga, T.S., Nejad, E.S., Martin, C.A., Cloern, J.E., 2020. USGS measurements of water quality in San Francisco (CA), beginning in 2016 (ver. 3.0, March 2020): U.S. Geological Survey data release. https://doi.org/10.5066/F7D21WGF.</w:t>
      </w:r>
    </w:p>
    <w:bookmarkEnd w:id="108"/>
    <w:bookmarkStart w:id="110" w:name="ref-Sera19"/>
    <w:p>
      <w:pPr>
        <w:pStyle w:val="Bibliography"/>
      </w:pPr>
      <w:r>
        <w:t xml:space="preserve">Sera, F., Armstrong, B., Blangiardo, M., Gasparrini, A., 2019. An extended mixed-effects framework for meta-analysis. Statistics in Medicine 38, 5429–5444.</w:t>
      </w:r>
      <w:r>
        <w:t xml:space="preserve"> </w:t>
      </w:r>
      <w:hyperlink r:id="rId109">
        <w:r>
          <w:rPr>
            <w:rStyle w:val="Hyperlink"/>
          </w:rPr>
          <w:t xml:space="preserve">https://doi.org/10.1002/sim.8362</w:t>
        </w:r>
      </w:hyperlink>
    </w:p>
    <w:bookmarkEnd w:id="110"/>
    <w:bookmarkStart w:id="112" w:name="ref-Shabman03"/>
    <w:p>
      <w:pPr>
        <w:pStyle w:val="Bibliography"/>
      </w:pPr>
      <w:r>
        <w:t xml:space="preserve">Shabman, L., Smith, E., 2003. Implications of applying statistically based procedures for water quality assessment. Journal of Water Resources Planning and Management 129, 330–336.</w:t>
      </w:r>
      <w:r>
        <w:t xml:space="preserve"> </w:t>
      </w:r>
      <w:hyperlink r:id="rId111">
        <w:r>
          <w:rPr>
            <w:rStyle w:val="Hyperlink"/>
          </w:rPr>
          <w:t xml:space="preserve">https://doi.org/10.1061/(ASCE)0733-9496(2003)129:4(330)</w:t>
        </w:r>
      </w:hyperlink>
    </w:p>
    <w:bookmarkEnd w:id="112"/>
    <w:bookmarkStart w:id="114" w:name="ref-Smith01"/>
    <w:p>
      <w:pPr>
        <w:pStyle w:val="Bibliography"/>
      </w:pPr>
      <w:r>
        <w:t xml:space="preserve">Smith, E.P., Ye, K., Hughes, C., Shabman, L., 2001. Statistical assessment of violations of water quality standards under section 303 (d) of the Clean Water Act. Environmental science &amp; technology 35, 606–612.</w:t>
      </w:r>
      <w:r>
        <w:t xml:space="preserve"> </w:t>
      </w:r>
      <w:hyperlink r:id="rId113">
        <w:r>
          <w:rPr>
            <w:rStyle w:val="Hyperlink"/>
          </w:rPr>
          <w:t xml:space="preserve">https://doi.org/10.1021/es001159e</w:t>
        </w:r>
      </w:hyperlink>
    </w:p>
    <w:bookmarkEnd w:id="114"/>
    <w:bookmarkStart w:id="116" w:name="ref-Stow15"/>
    <w:p>
      <w:pPr>
        <w:pStyle w:val="Bibliography"/>
      </w:pPr>
      <w:r>
        <w:t xml:space="preserve">Stow, C.A., Cha, Y., Johnson, L.T., Confesor, R., Richards, R.P., 2015. Long-term and seasonal trend decomposition of Maumee River nutrient inputs to western Lake Erie. Environmental Science and Technology 49, 3392–3400.</w:t>
      </w:r>
      <w:r>
        <w:t xml:space="preserve"> </w:t>
      </w:r>
      <w:hyperlink r:id="rId115">
        <w:r>
          <w:rPr>
            <w:rStyle w:val="Hyperlink"/>
          </w:rPr>
          <w:t xml:space="preserve">https://doi.org/10.1021/es5062648</w:t>
        </w:r>
      </w:hyperlink>
    </w:p>
    <w:bookmarkEnd w:id="116"/>
    <w:bookmarkStart w:id="118" w:name="ref-Urquhart98"/>
    <w:p>
      <w:pPr>
        <w:pStyle w:val="Bibliography"/>
      </w:pPr>
      <w:r>
        <w:t xml:space="preserve">Urquhart, N.S., Paulsen, S.G., Larsen, D.P., 1998. Monitoring for policy-relevant regional trends over time. Ecological Applications 8, 246–257.</w:t>
      </w:r>
      <w:r>
        <w:t xml:space="preserve"> </w:t>
      </w:r>
      <w:hyperlink r:id="rId117">
        <w:r>
          <w:rPr>
            <w:rStyle w:val="Hyperlink"/>
          </w:rPr>
          <w:t xml:space="preserve">https://doi.org/10.1890/1051-0761(1998)008[0246:MFPRRO]2.0.CO;2</w:t>
        </w:r>
      </w:hyperlink>
    </w:p>
    <w:bookmarkEnd w:id="118"/>
    <w:bookmarkStart w:id="119" w:name="ref-Wan17"/>
    <w:p>
      <w:pPr>
        <w:pStyle w:val="Bibliography"/>
      </w:pPr>
      <w:r>
        <w:t xml:space="preserve">Wan, Y., Wan, L., Li, Y., Doering, P., 2017. Decadal and seasonal trends of nutrient concentration and export from highly managed coastal catchments. Water Research 115, 180–194.</w:t>
      </w:r>
    </w:p>
    <w:bookmarkEnd w:id="119"/>
    <w:bookmarkStart w:id="120" w:name="ref-Wood17"/>
    <w:p>
      <w:pPr>
        <w:pStyle w:val="Bibliography"/>
      </w:pPr>
      <w:r>
        <w:t xml:space="preserve">Wood, S.N., 2017. Generalized additive models: An introduction with r, 2nd ed. Chapman; Hall, CRC Press, London, United Kingdom.</w:t>
      </w:r>
    </w:p>
    <w:bookmarkEnd w:id="120"/>
    <w:bookmarkStart w:id="122" w:name="ref-Wood04"/>
    <w:p>
      <w:pPr>
        <w:pStyle w:val="Bibliography"/>
      </w:pPr>
      <w:r>
        <w:t xml:space="preserve">Wood, S.N., 2004. Stable and efficient multiple smoothing parameter estimation for generalized additive models. Journal of the American Statistical Association 99, 673–686.</w:t>
      </w:r>
      <w:r>
        <w:t xml:space="preserve"> </w:t>
      </w:r>
      <w:hyperlink r:id="rId121">
        <w:r>
          <w:rPr>
            <w:rStyle w:val="Hyperlink"/>
          </w:rPr>
          <w:t xml:space="preserve">https://doi.org/10.1198/016214504000000980</w:t>
        </w:r>
      </w:hyperlink>
    </w:p>
    <w:bookmarkEnd w:id="122"/>
    <w:bookmarkStart w:id="124" w:name="ref-Wood03"/>
    <w:p>
      <w:pPr>
        <w:pStyle w:val="Bibliography"/>
      </w:pPr>
      <w:r>
        <w:t xml:space="preserve">Wood, S.N., 2003. Thin-plate regression splines. Journal of the Royal Statistical Society (B) 65, 95–114.</w:t>
      </w:r>
      <w:r>
        <w:t xml:space="preserve"> </w:t>
      </w:r>
      <w:hyperlink r:id="rId123">
        <w:r>
          <w:rPr>
            <w:rStyle w:val="Hyperlink"/>
          </w:rPr>
          <w:t xml:space="preserve">https://doi.org/10.1111/1467-9868.00374</w:t>
        </w:r>
      </w:hyperlink>
    </w:p>
    <w:bookmarkEnd w:id="124"/>
    <w:bookmarkStart w:id="126" w:name="ref-Wood02"/>
    <w:p>
      <w:pPr>
        <w:pStyle w:val="Bibliography"/>
      </w:pPr>
      <w:r>
        <w:t xml:space="preserve">Wood, S.N., Augustin, N.H., 2002. GAMs with integrated model selection using penalized regression splines and applications to environmental modelling. Ecological Modelling 157, 157–177.</w:t>
      </w:r>
      <w:r>
        <w:t xml:space="preserve"> </w:t>
      </w:r>
      <w:hyperlink r:id="rId125">
        <w:r>
          <w:rPr>
            <w:rStyle w:val="Hyperlink"/>
          </w:rPr>
          <w:t xml:space="preserve">https://doi.org/10.1016/S0304-3800(02)00193-X</w:t>
        </w:r>
      </w:hyperlink>
    </w:p>
    <w:bookmarkEnd w:id="126"/>
    <w:bookmarkStart w:id="127" w:name="ref-Yang20"/>
    <w:p>
      <w:pPr>
        <w:pStyle w:val="Bibliography"/>
      </w:pPr>
      <w:r>
        <w:t xml:space="preserve">Yang, G., Moyer, D.L., 2020. Estimation of nonlinear water-quality trends in high-frequency monitoring data. Science of The Total Environment 715, 10.1016/j.scitotenv.2020.136686.</w:t>
      </w:r>
    </w:p>
    <w:bookmarkEnd w:id="127"/>
    <w:bookmarkStart w:id="128" w:name="ref-Zuur09"/>
    <w:p>
      <w:pPr>
        <w:pStyle w:val="Bibliography"/>
      </w:pPr>
      <w:r>
        <w:t xml:space="preserve">Zuur, A.F., Ieno, E.N., Walker, N.J., Saveliev, A.A., Smith, G.M., 2009. Mixed effects models and extensions in ecology with r. Springer-Verlag, New York, New York.</w:t>
      </w:r>
    </w:p>
    <w:bookmarkEnd w:id="128"/>
    <w:bookmarkEnd w:id="1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80" Target="https://doi.org/10.1002/env.751" TargetMode="External" /><Relationship Type="http://schemas.openxmlformats.org/officeDocument/2006/relationships/hyperlink" Id="rId76" Target="https://doi.org/10.1002/sim.5471" TargetMode="External" /><Relationship Type="http://schemas.openxmlformats.org/officeDocument/2006/relationships/hyperlink" Id="rId109" Target="https://doi.org/10.1002/sim.8362" TargetMode="External" /><Relationship Type="http://schemas.openxmlformats.org/officeDocument/2006/relationships/hyperlink" Id="rId58" Target="https://doi.org/10.1007/s10666-015-9452-8" TargetMode="External" /><Relationship Type="http://schemas.openxmlformats.org/officeDocument/2006/relationships/hyperlink" Id="rId70" Target="https://doi.org/10.1007/s12237-020-00737-w" TargetMode="External" /><Relationship Type="http://schemas.openxmlformats.org/officeDocument/2006/relationships/hyperlink" Id="rId125" Target="https://doi.org/10.1016/S0304-3800(02)00193-X" TargetMode="External" /><Relationship Type="http://schemas.openxmlformats.org/officeDocument/2006/relationships/hyperlink" Id="rId100" Target="https://doi.org/10.1016/j.asr.2011.11.034" TargetMode="External" /><Relationship Type="http://schemas.openxmlformats.org/officeDocument/2006/relationships/hyperlink" Id="rId89" Target="https://doi.org/10.1016/j.atmosenv.2004.02.026" TargetMode="External" /><Relationship Type="http://schemas.openxmlformats.org/officeDocument/2006/relationships/hyperlink" Id="rId103" Target="https://doi.org/10.1016/j.atmosenv.2010.11.051" TargetMode="External" /><Relationship Type="http://schemas.openxmlformats.org/officeDocument/2006/relationships/hyperlink" Id="rId74" Target="https://doi.org/10.1016/j.ecocom.2018.07.005" TargetMode="External" /><Relationship Type="http://schemas.openxmlformats.org/officeDocument/2006/relationships/hyperlink" Id="rId60" Target="https://doi.org/10.1016/j.ecss.2018.06.021" TargetMode="External" /><Relationship Type="http://schemas.openxmlformats.org/officeDocument/2006/relationships/hyperlink" Id="rId83" Target="https://doi.org/10.1016/j.envsoft.2015.07.017" TargetMode="External" /><Relationship Type="http://schemas.openxmlformats.org/officeDocument/2006/relationships/hyperlink" Id="rId98" Target="https://doi.org/10.1016/j.envsoft.2019.03.027" TargetMode="External" /><Relationship Type="http://schemas.openxmlformats.org/officeDocument/2006/relationships/hyperlink" Id="rId94" Target="https://doi.org/10.1016/j.hal.2017.01.011" TargetMode="External" /><Relationship Type="http://schemas.openxmlformats.org/officeDocument/2006/relationships/hyperlink" Id="rId105" Target="https://doi.org/10.1016/j.rse.2014.05.016" TargetMode="External" /><Relationship Type="http://schemas.openxmlformats.org/officeDocument/2006/relationships/hyperlink" Id="rId113" Target="https://doi.org/10.1021/es001159e" TargetMode="External" /><Relationship Type="http://schemas.openxmlformats.org/officeDocument/2006/relationships/hyperlink" Id="rId115" Target="https://doi.org/10.1021/es5062648" TargetMode="External" /><Relationship Type="http://schemas.openxmlformats.org/officeDocument/2006/relationships/hyperlink" Id="rId96" Target="https://doi.org/10.1029/2007WR006191" TargetMode="External" /><Relationship Type="http://schemas.openxmlformats.org/officeDocument/2006/relationships/hyperlink" Id="rId65" Target="https://doi.org/10.1029/2012RG000397" TargetMode="External" /><Relationship Type="http://schemas.openxmlformats.org/officeDocument/2006/relationships/hyperlink" Id="rId111" Target="https://doi.org/10.1061/(ASCE)0733-9496(2003)129:4(330)" TargetMode="External" /><Relationship Type="http://schemas.openxmlformats.org/officeDocument/2006/relationships/hyperlink" Id="rId123" Target="https://doi.org/10.1111/1467-9868.00374" TargetMode="External" /><Relationship Type="http://schemas.openxmlformats.org/officeDocument/2006/relationships/hyperlink" Id="rId62" Target="https://doi.org/10.1111/1752-1688.12489" TargetMode="External" /><Relationship Type="http://schemas.openxmlformats.org/officeDocument/2006/relationships/hyperlink" Id="rId92" Target="https://doi.org/10.1111/gcb.13623" TargetMode="External" /><Relationship Type="http://schemas.openxmlformats.org/officeDocument/2006/relationships/hyperlink" Id="rId121" Target="https://doi.org/10.1198/016214504000000980" TargetMode="External" /><Relationship Type="http://schemas.openxmlformats.org/officeDocument/2006/relationships/hyperlink" Id="rId117" Target="https://doi.org/10.1890/1051-0761(1998)008%5B0246:MFPRRO%5D2.0.CO;2" TargetMode="External" /><Relationship Type="http://schemas.openxmlformats.org/officeDocument/2006/relationships/hyperlink" Id="rId30" Target="https://nutrient-data.sfei.org/apps/SFbaytrends/" TargetMode="External" /><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80" Target="https://doi.org/10.1002/env.751" TargetMode="External" /><Relationship Type="http://schemas.openxmlformats.org/officeDocument/2006/relationships/hyperlink" Id="rId76" Target="https://doi.org/10.1002/sim.5471" TargetMode="External" /><Relationship Type="http://schemas.openxmlformats.org/officeDocument/2006/relationships/hyperlink" Id="rId109" Target="https://doi.org/10.1002/sim.8362" TargetMode="External" /><Relationship Type="http://schemas.openxmlformats.org/officeDocument/2006/relationships/hyperlink" Id="rId58" Target="https://doi.org/10.1007/s10666-015-9452-8" TargetMode="External" /><Relationship Type="http://schemas.openxmlformats.org/officeDocument/2006/relationships/hyperlink" Id="rId70" Target="https://doi.org/10.1007/s12237-020-00737-w" TargetMode="External" /><Relationship Type="http://schemas.openxmlformats.org/officeDocument/2006/relationships/hyperlink" Id="rId125" Target="https://doi.org/10.1016/S0304-3800(02)00193-X" TargetMode="External" /><Relationship Type="http://schemas.openxmlformats.org/officeDocument/2006/relationships/hyperlink" Id="rId100" Target="https://doi.org/10.1016/j.asr.2011.11.034" TargetMode="External" /><Relationship Type="http://schemas.openxmlformats.org/officeDocument/2006/relationships/hyperlink" Id="rId89" Target="https://doi.org/10.1016/j.atmosenv.2004.02.026" TargetMode="External" /><Relationship Type="http://schemas.openxmlformats.org/officeDocument/2006/relationships/hyperlink" Id="rId103" Target="https://doi.org/10.1016/j.atmosenv.2010.11.051" TargetMode="External" /><Relationship Type="http://schemas.openxmlformats.org/officeDocument/2006/relationships/hyperlink" Id="rId74" Target="https://doi.org/10.1016/j.ecocom.2018.07.005" TargetMode="External" /><Relationship Type="http://schemas.openxmlformats.org/officeDocument/2006/relationships/hyperlink" Id="rId60" Target="https://doi.org/10.1016/j.ecss.2018.06.021" TargetMode="External" /><Relationship Type="http://schemas.openxmlformats.org/officeDocument/2006/relationships/hyperlink" Id="rId83" Target="https://doi.org/10.1016/j.envsoft.2015.07.017" TargetMode="External" /><Relationship Type="http://schemas.openxmlformats.org/officeDocument/2006/relationships/hyperlink" Id="rId98" Target="https://doi.org/10.1016/j.envsoft.2019.03.027" TargetMode="External" /><Relationship Type="http://schemas.openxmlformats.org/officeDocument/2006/relationships/hyperlink" Id="rId94" Target="https://doi.org/10.1016/j.hal.2017.01.011" TargetMode="External" /><Relationship Type="http://schemas.openxmlformats.org/officeDocument/2006/relationships/hyperlink" Id="rId105" Target="https://doi.org/10.1016/j.rse.2014.05.016" TargetMode="External" /><Relationship Type="http://schemas.openxmlformats.org/officeDocument/2006/relationships/hyperlink" Id="rId113" Target="https://doi.org/10.1021/es001159e" TargetMode="External" /><Relationship Type="http://schemas.openxmlformats.org/officeDocument/2006/relationships/hyperlink" Id="rId115" Target="https://doi.org/10.1021/es5062648" TargetMode="External" /><Relationship Type="http://schemas.openxmlformats.org/officeDocument/2006/relationships/hyperlink" Id="rId96" Target="https://doi.org/10.1029/2007WR006191" TargetMode="External" /><Relationship Type="http://schemas.openxmlformats.org/officeDocument/2006/relationships/hyperlink" Id="rId65" Target="https://doi.org/10.1029/2012RG000397" TargetMode="External" /><Relationship Type="http://schemas.openxmlformats.org/officeDocument/2006/relationships/hyperlink" Id="rId111" Target="https://doi.org/10.1061/(ASCE)0733-9496(2003)129:4(330)" TargetMode="External" /><Relationship Type="http://schemas.openxmlformats.org/officeDocument/2006/relationships/hyperlink" Id="rId123" Target="https://doi.org/10.1111/1467-9868.00374" TargetMode="External" /><Relationship Type="http://schemas.openxmlformats.org/officeDocument/2006/relationships/hyperlink" Id="rId62" Target="https://doi.org/10.1111/1752-1688.12489" TargetMode="External" /><Relationship Type="http://schemas.openxmlformats.org/officeDocument/2006/relationships/hyperlink" Id="rId92" Target="https://doi.org/10.1111/gcb.13623" TargetMode="External" /><Relationship Type="http://schemas.openxmlformats.org/officeDocument/2006/relationships/hyperlink" Id="rId121" Target="https://doi.org/10.1198/016214504000000980" TargetMode="External" /><Relationship Type="http://schemas.openxmlformats.org/officeDocument/2006/relationships/hyperlink" Id="rId117" Target="https://doi.org/10.1890/1051-0761(1998)008%5B0246:MFPRRO%5D2.0.CO;2" TargetMode="External" /><Relationship Type="http://schemas.openxmlformats.org/officeDocument/2006/relationships/hyperlink" Id="rId30" Target="https://nutrient-data.sfei.org/apps/SFbaytrends/" TargetMode="External" /><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2021-06-24T13:21:32Z</dcterms:created>
  <dcterms:modified xsi:type="dcterms:W3CDTF">2021-06-24T13:21:32Z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science-of-the-total-environment.csl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